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770F" w14:textId="77777777" w:rsidR="00804437" w:rsidRDefault="00CF681E" w:rsidP="00CF681E">
      <w:pPr>
        <w:jc w:val="right"/>
      </w:pPr>
      <w:r>
        <w:t>Appendix D</w:t>
      </w:r>
    </w:p>
    <w:p w14:paraId="31481D4B" w14:textId="77777777" w:rsidR="00CF681E" w:rsidRDefault="00CF681E" w:rsidP="00CF681E">
      <w:pPr>
        <w:jc w:val="right"/>
      </w:pPr>
    </w:p>
    <w:p w14:paraId="36988B7B" w14:textId="77777777" w:rsidR="00CF681E" w:rsidRDefault="00CF681E" w:rsidP="00CF681E">
      <w:pPr>
        <w:jc w:val="right"/>
      </w:pPr>
    </w:p>
    <w:p w14:paraId="152BC13B" w14:textId="77777777" w:rsidR="00CF681E" w:rsidRDefault="005F575E" w:rsidP="00CF681E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Financial Institutions</w:t>
      </w:r>
      <w:r w:rsidR="00B12DDA">
        <w:rPr>
          <w:rFonts w:cs="Arial"/>
          <w:b/>
          <w:sz w:val="24"/>
        </w:rPr>
        <w:t xml:space="preserve"> </w:t>
      </w:r>
      <w:r>
        <w:rPr>
          <w:rFonts w:cs="Arial"/>
          <w:b/>
          <w:sz w:val="24"/>
        </w:rPr>
        <w:t xml:space="preserve">consistent with LA </w:t>
      </w:r>
      <w:r w:rsidR="00CF681E" w:rsidRPr="00CF681E">
        <w:rPr>
          <w:rFonts w:cs="Arial"/>
          <w:b/>
          <w:sz w:val="24"/>
        </w:rPr>
        <w:t>Treasury Management policy</w:t>
      </w:r>
      <w:r w:rsidR="00B12DDA">
        <w:rPr>
          <w:rFonts w:cs="Arial"/>
          <w:b/>
          <w:sz w:val="24"/>
        </w:rPr>
        <w:t xml:space="preserve"> as at</w:t>
      </w:r>
      <w:r>
        <w:rPr>
          <w:rFonts w:cs="Arial"/>
          <w:b/>
          <w:sz w:val="24"/>
        </w:rPr>
        <w:t xml:space="preserve"> </w:t>
      </w:r>
      <w:r w:rsidR="00C7154E">
        <w:rPr>
          <w:rFonts w:cs="Arial"/>
          <w:b/>
          <w:sz w:val="24"/>
        </w:rPr>
        <w:t>1</w:t>
      </w:r>
      <w:r w:rsidR="00C7154E" w:rsidRPr="00C7154E">
        <w:rPr>
          <w:rFonts w:cs="Arial"/>
          <w:b/>
          <w:sz w:val="24"/>
          <w:vertAlign w:val="superscript"/>
        </w:rPr>
        <w:t>st</w:t>
      </w:r>
      <w:r w:rsidR="00C7154E">
        <w:rPr>
          <w:rFonts w:cs="Arial"/>
          <w:b/>
          <w:sz w:val="24"/>
        </w:rPr>
        <w:t xml:space="preserve"> December 2020</w:t>
      </w:r>
    </w:p>
    <w:p w14:paraId="4AA0BC37" w14:textId="77777777" w:rsidR="00CF681E" w:rsidRDefault="00CF681E" w:rsidP="00CF681E">
      <w:pPr>
        <w:jc w:val="center"/>
        <w:rPr>
          <w:rFonts w:cs="Arial"/>
          <w:b/>
          <w:sz w:val="24"/>
        </w:rPr>
      </w:pPr>
    </w:p>
    <w:p w14:paraId="13616446" w14:textId="77777777" w:rsidR="00CF681E" w:rsidRDefault="00CF681E" w:rsidP="00CF681E">
      <w:pPr>
        <w:rPr>
          <w:sz w:val="24"/>
        </w:rPr>
      </w:pPr>
    </w:p>
    <w:p w14:paraId="1A508030" w14:textId="77777777" w:rsidR="00B12DDA" w:rsidRPr="00B12DDA" w:rsidRDefault="00B12DDA" w:rsidP="00CF681E">
      <w:pPr>
        <w:rPr>
          <w:b/>
          <w:sz w:val="24"/>
          <w:u w:val="single"/>
        </w:rPr>
      </w:pPr>
      <w:r w:rsidRPr="00B12DDA">
        <w:rPr>
          <w:b/>
          <w:sz w:val="24"/>
          <w:u w:val="single"/>
        </w:rPr>
        <w:t xml:space="preserve">UK Registered </w:t>
      </w:r>
      <w:r w:rsidR="005F575E">
        <w:rPr>
          <w:b/>
          <w:sz w:val="24"/>
          <w:u w:val="single"/>
        </w:rPr>
        <w:t>Institutions</w:t>
      </w:r>
    </w:p>
    <w:p w14:paraId="1D52721A" w14:textId="77777777" w:rsidR="00B12DDA" w:rsidRDefault="00B12DDA" w:rsidP="00CF681E">
      <w:pPr>
        <w:rPr>
          <w:sz w:val="24"/>
        </w:rPr>
      </w:pPr>
    </w:p>
    <w:p w14:paraId="7EF01FEA" w14:textId="77777777" w:rsidR="005F575E" w:rsidRDefault="005F575E" w:rsidP="005F5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Barclays Bank plc</w:t>
      </w:r>
    </w:p>
    <w:p w14:paraId="5D05575B" w14:textId="77777777" w:rsidR="00C7154E" w:rsidRDefault="00C7154E" w:rsidP="005F5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Handelsbanken plc</w:t>
      </w:r>
    </w:p>
    <w:p w14:paraId="30F527EF" w14:textId="77777777" w:rsidR="00B563ED" w:rsidRPr="00B563ED" w:rsidRDefault="00B563ED" w:rsidP="00B563ED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Goldman Sachs International Bank</w:t>
      </w:r>
    </w:p>
    <w:p w14:paraId="4809C88D" w14:textId="77777777" w:rsidR="005F575E" w:rsidRDefault="005F575E" w:rsidP="005F5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HSBC Bank plc</w:t>
      </w:r>
    </w:p>
    <w:p w14:paraId="3A5FA310" w14:textId="77777777" w:rsidR="00B563ED" w:rsidRDefault="00B563ED" w:rsidP="005F5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Nationwide Building Society</w:t>
      </w:r>
    </w:p>
    <w:p w14:paraId="01FF6E7D" w14:textId="77777777" w:rsidR="005F575E" w:rsidRDefault="005F575E" w:rsidP="005F5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Standard Chartered</w:t>
      </w:r>
    </w:p>
    <w:p w14:paraId="3F3E6470" w14:textId="77777777" w:rsidR="005F575E" w:rsidRDefault="005F575E" w:rsidP="005F575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Santander UK</w:t>
      </w:r>
    </w:p>
    <w:p w14:paraId="579FEAEA" w14:textId="77777777" w:rsidR="005F575E" w:rsidRDefault="005F575E" w:rsidP="00CF681E">
      <w:pPr>
        <w:rPr>
          <w:sz w:val="24"/>
        </w:rPr>
      </w:pPr>
    </w:p>
    <w:p w14:paraId="2D03F5C4" w14:textId="77777777" w:rsidR="00B12DDA" w:rsidRPr="005F575E" w:rsidRDefault="00B12DDA" w:rsidP="005F575E">
      <w:pPr>
        <w:ind w:left="720" w:firstLine="720"/>
        <w:rPr>
          <w:i/>
          <w:sz w:val="24"/>
        </w:rPr>
      </w:pPr>
      <w:r w:rsidRPr="005F575E">
        <w:rPr>
          <w:i/>
          <w:sz w:val="24"/>
        </w:rPr>
        <w:t>Royal Bank of Scotland Group plc:</w:t>
      </w:r>
    </w:p>
    <w:p w14:paraId="0BF8231E" w14:textId="77777777" w:rsidR="00B12DDA" w:rsidRDefault="00B12DDA" w:rsidP="00B12DD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National Westminster Bank plc</w:t>
      </w:r>
    </w:p>
    <w:p w14:paraId="4967F13E" w14:textId="77777777" w:rsidR="00B12DDA" w:rsidRDefault="00B12DDA" w:rsidP="00B12DD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The Royal Bank of Scotland plc</w:t>
      </w:r>
    </w:p>
    <w:p w14:paraId="339EABF8" w14:textId="77777777" w:rsidR="005F575E" w:rsidRDefault="005F575E" w:rsidP="00CF681E">
      <w:pPr>
        <w:rPr>
          <w:sz w:val="24"/>
        </w:rPr>
      </w:pPr>
    </w:p>
    <w:p w14:paraId="693817C4" w14:textId="77777777" w:rsidR="00B12DDA" w:rsidRPr="005F575E" w:rsidRDefault="00B12DDA" w:rsidP="005F575E">
      <w:pPr>
        <w:ind w:left="720" w:firstLine="720"/>
        <w:rPr>
          <w:i/>
          <w:sz w:val="24"/>
        </w:rPr>
      </w:pPr>
      <w:r w:rsidRPr="005F575E">
        <w:rPr>
          <w:i/>
          <w:sz w:val="24"/>
        </w:rPr>
        <w:t>Lloyds Banking Group plc:</w:t>
      </w:r>
    </w:p>
    <w:p w14:paraId="27F4AFC4" w14:textId="77777777" w:rsidR="00B12DDA" w:rsidRDefault="00B12DDA" w:rsidP="00B12D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Bank of Scotland plc</w:t>
      </w:r>
    </w:p>
    <w:p w14:paraId="7107CBD1" w14:textId="77777777" w:rsidR="00B12DDA" w:rsidRDefault="00B12DDA" w:rsidP="00B12DD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Lloyds Bank plc</w:t>
      </w:r>
    </w:p>
    <w:p w14:paraId="5322F40E" w14:textId="77777777" w:rsidR="00CF681E" w:rsidRDefault="00CF681E" w:rsidP="00CF681E">
      <w:pPr>
        <w:rPr>
          <w:sz w:val="24"/>
        </w:rPr>
      </w:pPr>
    </w:p>
    <w:p w14:paraId="7EF9A2E9" w14:textId="77777777" w:rsidR="00B12DDA" w:rsidRDefault="00B12DDA" w:rsidP="00CF681E">
      <w:pPr>
        <w:rPr>
          <w:b/>
          <w:sz w:val="24"/>
          <w:u w:val="single"/>
        </w:rPr>
      </w:pPr>
      <w:r w:rsidRPr="00B12DDA">
        <w:rPr>
          <w:b/>
          <w:sz w:val="24"/>
          <w:u w:val="single"/>
        </w:rPr>
        <w:t xml:space="preserve">Other </w:t>
      </w:r>
      <w:r w:rsidR="005F575E">
        <w:rPr>
          <w:b/>
          <w:sz w:val="24"/>
          <w:u w:val="single"/>
        </w:rPr>
        <w:t>Institutions</w:t>
      </w:r>
    </w:p>
    <w:p w14:paraId="49EBBF14" w14:textId="77777777" w:rsidR="00B12DDA" w:rsidRDefault="00B12DDA" w:rsidP="00CF681E">
      <w:pPr>
        <w:rPr>
          <w:sz w:val="24"/>
        </w:rPr>
      </w:pPr>
    </w:p>
    <w:p w14:paraId="740E349C" w14:textId="77777777" w:rsidR="005F575E" w:rsidRDefault="005F575E" w:rsidP="00CF681E">
      <w:pPr>
        <w:rPr>
          <w:sz w:val="24"/>
        </w:rPr>
      </w:pPr>
      <w:r>
        <w:rPr>
          <w:sz w:val="24"/>
        </w:rPr>
        <w:t>Nordea Bank (Finland)</w:t>
      </w:r>
    </w:p>
    <w:p w14:paraId="60053669" w14:textId="77777777" w:rsidR="005F575E" w:rsidRDefault="005F575E" w:rsidP="00CF681E">
      <w:pPr>
        <w:rPr>
          <w:sz w:val="24"/>
        </w:rPr>
      </w:pPr>
      <w:r>
        <w:rPr>
          <w:sz w:val="24"/>
        </w:rPr>
        <w:t>Rabobank (Netherlands)</w:t>
      </w:r>
    </w:p>
    <w:p w14:paraId="43055028" w14:textId="77777777" w:rsidR="005F575E" w:rsidRDefault="00B563ED" w:rsidP="00CF681E">
      <w:pPr>
        <w:rPr>
          <w:sz w:val="24"/>
        </w:rPr>
      </w:pPr>
      <w:r>
        <w:rPr>
          <w:sz w:val="24"/>
        </w:rPr>
        <w:t>Royal Bank of Canada</w:t>
      </w:r>
    </w:p>
    <w:p w14:paraId="3DE0EB98" w14:textId="77777777" w:rsidR="00B563ED" w:rsidRDefault="00B563ED" w:rsidP="00CF681E">
      <w:pPr>
        <w:rPr>
          <w:sz w:val="24"/>
        </w:rPr>
      </w:pPr>
      <w:r>
        <w:rPr>
          <w:sz w:val="24"/>
        </w:rPr>
        <w:t>National Australia Bank</w:t>
      </w:r>
    </w:p>
    <w:p w14:paraId="78BAF09F" w14:textId="77777777" w:rsidR="00B563ED" w:rsidRDefault="00B563ED" w:rsidP="00CF681E">
      <w:pPr>
        <w:rPr>
          <w:sz w:val="24"/>
        </w:rPr>
      </w:pPr>
      <w:r>
        <w:rPr>
          <w:sz w:val="24"/>
        </w:rPr>
        <w:t>J.P. Morgan Chase Bank (USA)</w:t>
      </w:r>
    </w:p>
    <w:p w14:paraId="36ADEBC3" w14:textId="77777777" w:rsidR="005F575E" w:rsidRDefault="005F575E" w:rsidP="00CF681E">
      <w:pPr>
        <w:rPr>
          <w:sz w:val="24"/>
        </w:rPr>
      </w:pPr>
    </w:p>
    <w:p w14:paraId="493A762D" w14:textId="77777777" w:rsidR="005F575E" w:rsidRDefault="005F575E" w:rsidP="00CF681E">
      <w:pPr>
        <w:rPr>
          <w:sz w:val="24"/>
        </w:rPr>
      </w:pPr>
    </w:p>
    <w:p w14:paraId="62D46A1F" w14:textId="77777777" w:rsidR="005F575E" w:rsidRDefault="005F575E" w:rsidP="00CF681E">
      <w:pPr>
        <w:rPr>
          <w:sz w:val="24"/>
        </w:rPr>
      </w:pPr>
    </w:p>
    <w:p w14:paraId="09F815EF" w14:textId="77777777" w:rsidR="005F575E" w:rsidRPr="001A5DB8" w:rsidRDefault="005F575E" w:rsidP="00CF681E">
      <w:pPr>
        <w:rPr>
          <w:b/>
          <w:sz w:val="24"/>
        </w:rPr>
      </w:pPr>
      <w:r w:rsidRPr="001A5DB8">
        <w:rPr>
          <w:b/>
          <w:sz w:val="24"/>
        </w:rPr>
        <w:t>Note:</w:t>
      </w:r>
    </w:p>
    <w:p w14:paraId="0D6E302B" w14:textId="77777777" w:rsidR="005F575E" w:rsidRDefault="005F575E" w:rsidP="00CF681E">
      <w:pPr>
        <w:rPr>
          <w:sz w:val="24"/>
        </w:rPr>
      </w:pPr>
    </w:p>
    <w:p w14:paraId="573A99E4" w14:textId="77777777" w:rsidR="005F575E" w:rsidRPr="00B12DDA" w:rsidRDefault="005F575E" w:rsidP="00CF681E">
      <w:pPr>
        <w:rPr>
          <w:sz w:val="24"/>
        </w:rPr>
      </w:pPr>
      <w:r>
        <w:rPr>
          <w:sz w:val="24"/>
        </w:rPr>
        <w:t>This listing is provided for illustration purposes only</w:t>
      </w:r>
      <w:r w:rsidR="00B563ED">
        <w:rPr>
          <w:sz w:val="24"/>
        </w:rPr>
        <w:t xml:space="preserve"> at a point in time</w:t>
      </w:r>
      <w:r>
        <w:rPr>
          <w:sz w:val="24"/>
        </w:rPr>
        <w:t>.</w:t>
      </w:r>
      <w:r w:rsidR="00B563ED">
        <w:rPr>
          <w:sz w:val="24"/>
        </w:rPr>
        <w:t xml:space="preserve"> </w:t>
      </w:r>
      <w:r>
        <w:rPr>
          <w:sz w:val="24"/>
        </w:rPr>
        <w:t>This listing is not exhaustive and nor does this constitute investment advice.</w:t>
      </w:r>
      <w:r w:rsidR="00B563ED">
        <w:rPr>
          <w:sz w:val="24"/>
        </w:rPr>
        <w:t xml:space="preserve"> </w:t>
      </w:r>
      <w:r>
        <w:rPr>
          <w:sz w:val="24"/>
        </w:rPr>
        <w:t>School</w:t>
      </w:r>
      <w:r w:rsidR="00DF5D68">
        <w:rPr>
          <w:sz w:val="24"/>
        </w:rPr>
        <w:t>’</w:t>
      </w:r>
      <w:r>
        <w:rPr>
          <w:sz w:val="24"/>
        </w:rPr>
        <w:t xml:space="preserve">s should rigorously assess the risks </w:t>
      </w:r>
      <w:r w:rsidR="00B563ED">
        <w:rPr>
          <w:sz w:val="24"/>
        </w:rPr>
        <w:t>associated with</w:t>
      </w:r>
      <w:r>
        <w:rPr>
          <w:sz w:val="24"/>
        </w:rPr>
        <w:t xml:space="preserve"> any investment</w:t>
      </w:r>
      <w:r w:rsidR="00B563ED">
        <w:rPr>
          <w:sz w:val="24"/>
        </w:rPr>
        <w:t xml:space="preserve"> proposal and seek to manage those risks accordingly. </w:t>
      </w:r>
      <w:r w:rsidR="00DF5D68">
        <w:rPr>
          <w:sz w:val="24"/>
        </w:rPr>
        <w:t>S</w:t>
      </w:r>
      <w:r w:rsidR="00B563ED">
        <w:rPr>
          <w:sz w:val="24"/>
        </w:rPr>
        <w:t>chool</w:t>
      </w:r>
      <w:r w:rsidR="00DF5D68">
        <w:rPr>
          <w:sz w:val="24"/>
        </w:rPr>
        <w:t>’</w:t>
      </w:r>
      <w:r w:rsidR="00B563ED">
        <w:rPr>
          <w:sz w:val="24"/>
        </w:rPr>
        <w:t>s considering longer term investments</w:t>
      </w:r>
      <w:r w:rsidR="00DF5D68">
        <w:rPr>
          <w:sz w:val="24"/>
        </w:rPr>
        <w:t xml:space="preserve"> should</w:t>
      </w:r>
      <w:r w:rsidR="00B563ED">
        <w:rPr>
          <w:sz w:val="24"/>
        </w:rPr>
        <w:t xml:space="preserve"> </w:t>
      </w:r>
      <w:r w:rsidR="00DF5D68">
        <w:rPr>
          <w:sz w:val="24"/>
        </w:rPr>
        <w:t>speak to a member of the School’s Finance Team.</w:t>
      </w:r>
    </w:p>
    <w:sectPr w:rsidR="005F575E" w:rsidRPr="00B12D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32381"/>
    <w:multiLevelType w:val="hybridMultilevel"/>
    <w:tmpl w:val="379A6D2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E062AD"/>
    <w:multiLevelType w:val="hybridMultilevel"/>
    <w:tmpl w:val="C844833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1E"/>
    <w:rsid w:val="00194CB8"/>
    <w:rsid w:val="001A5DB8"/>
    <w:rsid w:val="001E1522"/>
    <w:rsid w:val="005F575E"/>
    <w:rsid w:val="006F1AAA"/>
    <w:rsid w:val="00804437"/>
    <w:rsid w:val="00AE292C"/>
    <w:rsid w:val="00B12DDA"/>
    <w:rsid w:val="00B530A4"/>
    <w:rsid w:val="00B563ED"/>
    <w:rsid w:val="00C023EC"/>
    <w:rsid w:val="00C7154E"/>
    <w:rsid w:val="00CD5B6C"/>
    <w:rsid w:val="00CF681E"/>
    <w:rsid w:val="00DB5917"/>
    <w:rsid w:val="00DD7433"/>
    <w:rsid w:val="00DF5D68"/>
    <w:rsid w:val="00F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288B81"/>
  <w15:chartTrackingRefBased/>
  <w15:docId w15:val="{0BAFCC48-51A5-49DC-A974-C6737074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8728087AC31170439DE4D6F18D08AAD5" ma:contentTypeVersion="2" ma:contentTypeDescription="MKC Branded Word Template Document" ma:contentTypeScope="" ma:versionID="7342ae712cd926eaaa3631f74c4fcd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ee73f336-9c49-41ab-9427-d263034a0100" ContentTypeId="0x010100073DBBF460B4694388C550D7D3B13999" PreviousValue="false" LastSyncTimeStamp="2021-10-01T14:38:35.487Z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5DE34-FB96-4CA0-AAA2-3499B0243D11}"/>
</file>

<file path=customXml/itemProps2.xml><?xml version="1.0" encoding="utf-8"?>
<ds:datastoreItem xmlns:ds="http://schemas.openxmlformats.org/officeDocument/2006/customXml" ds:itemID="{0E1C198B-6CBE-4874-9520-D6DA8DD0653C}"/>
</file>

<file path=customXml/itemProps3.xml><?xml version="1.0" encoding="utf-8"?>
<ds:datastoreItem xmlns:ds="http://schemas.openxmlformats.org/officeDocument/2006/customXml" ds:itemID="{F2BC4357-FD29-4B6B-A828-215AC3454B62}"/>
</file>

<file path=customXml/itemProps4.xml><?xml version="1.0" encoding="utf-8"?>
<ds:datastoreItem xmlns:ds="http://schemas.openxmlformats.org/officeDocument/2006/customXml" ds:itemID="{B0859158-CCCF-404C-B2AD-83C714C7D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</vt:lpstr>
    </vt:vector>
  </TitlesOfParts>
  <Company>Milton Keynes Council / HBS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</dc:title>
  <dc:subject/>
  <dc:creator>Esther Martin</dc:creator>
  <cp:keywords/>
  <cp:lastModifiedBy>Kayleigh Day</cp:lastModifiedBy>
  <cp:revision>2</cp:revision>
  <dcterms:created xsi:type="dcterms:W3CDTF">2021-09-20T11:01:00Z</dcterms:created>
  <dcterms:modified xsi:type="dcterms:W3CDTF">2021-09-20T11:01:00Z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0x010100073DBBF460B4694388C550D7D3B13999008728087AC31170439DE4D6F18D08AAD5</vt:lpwstr>
  </property>
  <property fmtid="{D5CDD505-2E9C-101B-9397-08002B2CF9AE}" pid="3" name="Order">
    <vt:r8>4700</vt:r8>
  </property>
</Properties>
</file>