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AEF1" w14:textId="173495BB" w:rsidR="00383A74" w:rsidRPr="00383A74" w:rsidRDefault="00383A74" w:rsidP="00383A74">
      <w:pPr>
        <w:pStyle w:val="Heading2"/>
        <w:rPr>
          <w:bCs/>
          <w:sz w:val="56"/>
          <w:szCs w:val="32"/>
          <w:lang w:val="en-GB"/>
        </w:rPr>
      </w:pPr>
      <w:r w:rsidRPr="00383A74">
        <w:rPr>
          <w:bCs/>
          <w:sz w:val="56"/>
          <w:szCs w:val="32"/>
          <w:lang w:val="en-GB"/>
        </w:rPr>
        <w:t>Child Protection Annual Report 2021-22</w:t>
      </w:r>
    </w:p>
    <w:p w14:paraId="6EDC7333" w14:textId="77777777" w:rsidR="00F877E5" w:rsidRPr="00F877E5" w:rsidRDefault="00F877E5" w:rsidP="00F877E5">
      <w:pPr>
        <w:autoSpaceDE w:val="0"/>
        <w:autoSpaceDN w:val="0"/>
        <w:adjustRightInd w:val="0"/>
        <w:spacing w:after="0" w:line="240" w:lineRule="auto"/>
        <w:rPr>
          <w:rFonts w:ascii="Calibri" w:eastAsiaTheme="majorEastAsia" w:hAnsi="Calibri" w:cstheme="majorBidi"/>
          <w:b/>
          <w:bCs/>
          <w:color w:val="000000" w:themeColor="text1"/>
          <w:sz w:val="36"/>
          <w:szCs w:val="26"/>
        </w:rPr>
      </w:pPr>
      <w:r w:rsidRPr="00F877E5">
        <w:rPr>
          <w:rFonts w:ascii="Calibri" w:eastAsiaTheme="majorEastAsia" w:hAnsi="Calibri" w:cstheme="majorBidi"/>
          <w:b/>
          <w:bCs/>
          <w:color w:val="000000" w:themeColor="text1"/>
          <w:sz w:val="36"/>
          <w:szCs w:val="26"/>
        </w:rPr>
        <w:t>A summary of child protection conference and consultation activity 2021/22</w:t>
      </w:r>
    </w:p>
    <w:p w14:paraId="6FD382F1" w14:textId="1CC4DD01" w:rsid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475F296F" w14:textId="67D4F3F7" w:rsidR="00A81821" w:rsidRDefault="00A81821" w:rsidP="00C20FBE">
      <w:pPr>
        <w:autoSpaceDE w:val="0"/>
        <w:autoSpaceDN w:val="0"/>
        <w:adjustRightInd w:val="0"/>
        <w:spacing w:after="0" w:line="240" w:lineRule="auto"/>
        <w:rPr>
          <w:rFonts w:ascii="Calibri" w:eastAsiaTheme="minorHAnsi" w:hAnsi="Calibri" w:cs="Calibri"/>
          <w:color w:val="000000"/>
          <w:szCs w:val="24"/>
          <w:lang w:eastAsia="en-US"/>
        </w:rPr>
      </w:pPr>
      <w:r>
        <w:rPr>
          <w:rFonts w:ascii="Calibri" w:eastAsiaTheme="minorHAnsi" w:hAnsi="Calibri" w:cs="Calibri"/>
          <w:color w:val="000000"/>
          <w:szCs w:val="24"/>
          <w:lang w:eastAsia="en-US"/>
        </w:rPr>
        <w:t xml:space="preserve">Julia Roberts – Team Manager, Safeguarding </w:t>
      </w:r>
    </w:p>
    <w:p w14:paraId="35DD0910" w14:textId="77777777" w:rsidR="00A81821" w:rsidRPr="00C20FBE" w:rsidRDefault="00A81821" w:rsidP="00C20FBE">
      <w:pPr>
        <w:autoSpaceDE w:val="0"/>
        <w:autoSpaceDN w:val="0"/>
        <w:adjustRightInd w:val="0"/>
        <w:spacing w:after="0" w:line="240" w:lineRule="auto"/>
        <w:rPr>
          <w:rFonts w:ascii="Calibri" w:eastAsiaTheme="minorHAnsi" w:hAnsi="Calibri" w:cs="Calibri"/>
          <w:color w:val="000000"/>
          <w:szCs w:val="24"/>
          <w:lang w:eastAsia="en-US"/>
        </w:rPr>
      </w:pPr>
    </w:p>
    <w:p w14:paraId="20534DB7" w14:textId="534853B6" w:rsidR="00C20FBE" w:rsidRPr="00C20FBE" w:rsidRDefault="000B08A9" w:rsidP="00C20FBE">
      <w:pPr>
        <w:pStyle w:val="Heading2"/>
        <w:rPr>
          <w:rFonts w:eastAsiaTheme="minorHAnsi"/>
          <w:lang w:eastAsia="en-US"/>
        </w:rPr>
      </w:pPr>
      <w:r>
        <w:rPr>
          <w:rFonts w:eastAsiaTheme="minorHAnsi"/>
          <w:lang w:eastAsia="en-US"/>
        </w:rPr>
        <w:t xml:space="preserve">Introduction </w:t>
      </w:r>
    </w:p>
    <w:p w14:paraId="7230E840" w14:textId="77777777" w:rsidR="000E75FB" w:rsidRPr="006B5E99" w:rsidRDefault="000E75FB" w:rsidP="000E75FB">
      <w:pPr>
        <w:rPr>
          <w:rFonts w:hAnsi="Calibri"/>
          <w:color w:val="000000" w:themeColor="text1"/>
          <w:kern w:val="24"/>
          <w:szCs w:val="24"/>
        </w:rPr>
      </w:pPr>
      <w:r w:rsidRPr="006B5E99">
        <w:rPr>
          <w:rFonts w:hAnsi="Calibri"/>
          <w:color w:val="000000" w:themeColor="text1"/>
          <w:kern w:val="24"/>
          <w:szCs w:val="24"/>
        </w:rPr>
        <w:t>This report will provide an overview of the activity and effectiveness of Child Protection activity between 1 April 2021 and 31 March 2022.</w:t>
      </w:r>
    </w:p>
    <w:p w14:paraId="594ACA79" w14:textId="77777777" w:rsidR="000E75FB" w:rsidRPr="006B5E99" w:rsidRDefault="000E75FB" w:rsidP="000E75FB">
      <w:pPr>
        <w:rPr>
          <w:rFonts w:hAnsi="Calibri"/>
          <w:color w:val="000000" w:themeColor="text1"/>
          <w:kern w:val="24"/>
          <w:szCs w:val="24"/>
        </w:rPr>
      </w:pPr>
      <w:r w:rsidRPr="006B5E99">
        <w:rPr>
          <w:rFonts w:hAnsi="Calibri"/>
          <w:color w:val="000000" w:themeColor="text1"/>
          <w:kern w:val="24"/>
          <w:szCs w:val="24"/>
        </w:rPr>
        <w:t xml:space="preserve">In the often stressful and high-risk environment of Childrens Social Care, it is easy to lose sight of our purpose and our values and to behave in punitive, risk averse ways towards the families of vulnerable children. The Milton Keynes approach aims to work with families in a way which enables us to stop, listen and reflect on what has been said and consider the impact on the child’s welfare. The family support approach promotes family centred solutions, ensuring a more proactive, child centred role for our workers with a clear focus on the safety of the child. This means that, wherever possible, child protection concerns are safely and effectively managed without entering formal child protection processes. </w:t>
      </w:r>
    </w:p>
    <w:p w14:paraId="25465B1A" w14:textId="77777777" w:rsidR="000E75FB" w:rsidRPr="006B5E99" w:rsidRDefault="000E75FB" w:rsidP="000E75FB">
      <w:pPr>
        <w:rPr>
          <w:rFonts w:hAnsi="Calibri"/>
          <w:color w:val="000000" w:themeColor="text1"/>
          <w:kern w:val="24"/>
          <w:szCs w:val="24"/>
        </w:rPr>
      </w:pPr>
      <w:r w:rsidRPr="006B5E99">
        <w:rPr>
          <w:rFonts w:hAnsi="Calibri"/>
          <w:color w:val="000000" w:themeColor="text1"/>
          <w:kern w:val="24"/>
          <w:szCs w:val="24"/>
        </w:rPr>
        <w:t xml:space="preserve">The past year has seen a relaxation in the restrictions in relation to Covid 19 and this has meant that we have been able to return to meetings which take place in person. Initially we encouraged families to attend alongside the chair and the Social Worker and professionals were present virtually. Gradually we have been able to see more professionals attend and this has been well received. The facility to dial in remotely using Teams, remains an option and is regularly used for Review Child Protection Conferences where deemed appropriate. It remains important for all attendees to be present for the duration of the meeting so as to be part of joint decision making and risk management. </w:t>
      </w:r>
    </w:p>
    <w:p w14:paraId="1721B171" w14:textId="77777777" w:rsidR="000E75FB" w:rsidRPr="006B5E99" w:rsidRDefault="000E75FB" w:rsidP="000E75FB">
      <w:pPr>
        <w:rPr>
          <w:rFonts w:hAnsi="Calibri"/>
          <w:color w:val="000000" w:themeColor="text1"/>
          <w:kern w:val="24"/>
          <w:szCs w:val="24"/>
        </w:rPr>
      </w:pPr>
      <w:bookmarkStart w:id="0" w:name="_Hlk123648825"/>
      <w:r w:rsidRPr="006B5E99">
        <w:rPr>
          <w:rFonts w:hAnsi="Calibri"/>
          <w:color w:val="000000" w:themeColor="text1"/>
          <w:kern w:val="24"/>
          <w:szCs w:val="24"/>
        </w:rPr>
        <w:t xml:space="preserve">Chairs have continued to try and liaise with families in advance of conference to help prepare them for the meeting. </w:t>
      </w:r>
      <w:bookmarkEnd w:id="0"/>
      <w:r w:rsidRPr="006B5E99">
        <w:rPr>
          <w:rFonts w:hAnsi="Calibri"/>
          <w:color w:val="000000" w:themeColor="text1"/>
          <w:kern w:val="24"/>
          <w:szCs w:val="24"/>
        </w:rPr>
        <w:t xml:space="preserve">This has usually been by telephone and has enabled the safeguarding service to be confident that families know what to expect from a conference. </w:t>
      </w:r>
    </w:p>
    <w:p w14:paraId="02A0E9FC" w14:textId="77777777" w:rsidR="000E75FB" w:rsidRPr="006B5E99" w:rsidRDefault="000E75FB" w:rsidP="000E75FB">
      <w:pPr>
        <w:rPr>
          <w:rFonts w:hAnsi="Calibri"/>
          <w:color w:val="000000" w:themeColor="text1"/>
          <w:kern w:val="24"/>
          <w:szCs w:val="24"/>
        </w:rPr>
      </w:pPr>
      <w:bookmarkStart w:id="1" w:name="_Hlk123648887"/>
      <w:r w:rsidRPr="006B5E99">
        <w:rPr>
          <w:rFonts w:hAnsi="Calibri"/>
          <w:color w:val="000000" w:themeColor="text1"/>
          <w:kern w:val="24"/>
          <w:szCs w:val="24"/>
        </w:rPr>
        <w:t xml:space="preserve">Chairs continue to provide a valuable service in offering objective, expert consultations to Social Workers and other professionals in relation to identifying and managing risk </w:t>
      </w:r>
      <w:bookmarkEnd w:id="1"/>
      <w:r w:rsidRPr="006B5E99">
        <w:rPr>
          <w:rFonts w:hAnsi="Calibri"/>
          <w:color w:val="000000" w:themeColor="text1"/>
          <w:kern w:val="24"/>
          <w:szCs w:val="24"/>
        </w:rPr>
        <w:t xml:space="preserve">appropriately with children on Child in Need Plans to ensure that the right children are being managed effectively within both Children in Need and Child Protection Processes. </w:t>
      </w:r>
    </w:p>
    <w:p w14:paraId="723D2948" w14:textId="77777777" w:rsidR="000E75FB" w:rsidRPr="006B5E99" w:rsidRDefault="000E75FB" w:rsidP="000E75FB">
      <w:pPr>
        <w:rPr>
          <w:rFonts w:hAnsi="Calibri"/>
          <w:color w:val="000000" w:themeColor="text1"/>
          <w:kern w:val="24"/>
          <w:szCs w:val="24"/>
        </w:rPr>
      </w:pPr>
      <w:r w:rsidRPr="006B5E99">
        <w:rPr>
          <w:rFonts w:hAnsi="Calibri"/>
          <w:color w:val="000000" w:themeColor="text1"/>
          <w:kern w:val="24"/>
          <w:szCs w:val="24"/>
        </w:rPr>
        <w:t xml:space="preserve">Independent Chairs are pivotal in the overview of the service in a scrutiny role to ensure the quality, safety and effectiveness of safeguarding practice and policy. Challenge is provided where appropriate and identified themes and trends reported to senior management in several ways, including regular formal reporting to Performance Management Meetings. </w:t>
      </w:r>
    </w:p>
    <w:p w14:paraId="60B489A4" w14:textId="77777777" w:rsidR="00D25EA6" w:rsidRDefault="00D25EA6" w:rsidP="00D25EA6">
      <w:pPr>
        <w:autoSpaceDE w:val="0"/>
        <w:autoSpaceDN w:val="0"/>
        <w:adjustRightInd w:val="0"/>
        <w:spacing w:after="0" w:line="240" w:lineRule="auto"/>
        <w:rPr>
          <w:rFonts w:ascii="Calibri" w:eastAsiaTheme="minorHAnsi" w:hAnsi="Calibri" w:cs="Calibri"/>
          <w:szCs w:val="24"/>
          <w:lang w:eastAsia="en-US"/>
        </w:rPr>
      </w:pPr>
    </w:p>
    <w:p w14:paraId="06EA01A5" w14:textId="75B27B96" w:rsidR="00C20FBE" w:rsidRPr="00C20FBE" w:rsidRDefault="000E75FB" w:rsidP="00C20FBE">
      <w:pPr>
        <w:pStyle w:val="Heading2"/>
        <w:rPr>
          <w:rFonts w:eastAsiaTheme="minorHAnsi"/>
          <w:lang w:eastAsia="en-US"/>
        </w:rPr>
      </w:pPr>
      <w:r>
        <w:rPr>
          <w:rFonts w:eastAsiaTheme="minorHAnsi"/>
          <w:lang w:eastAsia="en-US"/>
        </w:rPr>
        <w:lastRenderedPageBreak/>
        <w:t>The Safeguarding Service</w:t>
      </w:r>
    </w:p>
    <w:p w14:paraId="63797647" w14:textId="77777777" w:rsidR="00E56BEC" w:rsidRPr="006B5E99" w:rsidRDefault="00E56BEC" w:rsidP="00E56BEC">
      <w:pPr>
        <w:rPr>
          <w:rFonts w:hAnsi="Calibri"/>
          <w:color w:val="000000" w:themeColor="text1"/>
          <w:kern w:val="24"/>
          <w:szCs w:val="24"/>
        </w:rPr>
      </w:pPr>
      <w:r w:rsidRPr="006B5E99">
        <w:rPr>
          <w:rFonts w:hAnsi="Calibri"/>
          <w:color w:val="000000" w:themeColor="text1"/>
          <w:kern w:val="24"/>
          <w:szCs w:val="24"/>
        </w:rPr>
        <w:t>Sitting within the wider Safeguarding Service, Child Protection Conferences are chaired by 7.5 permanent Independent Chairs supported by Business Support. We have seen some staff sickness which has impacted on allocation.</w:t>
      </w:r>
    </w:p>
    <w:p w14:paraId="45BB71BC" w14:textId="77777777" w:rsidR="00E56BEC" w:rsidRPr="006B5E99" w:rsidRDefault="00E56BEC" w:rsidP="00E56BEC">
      <w:pPr>
        <w:rPr>
          <w:rFonts w:hAnsi="Calibri"/>
          <w:color w:val="000000" w:themeColor="text1"/>
          <w:kern w:val="24"/>
          <w:szCs w:val="24"/>
        </w:rPr>
      </w:pPr>
      <w:r w:rsidRPr="006B5E99">
        <w:rPr>
          <w:rFonts w:hAnsi="Calibri"/>
          <w:color w:val="000000" w:themeColor="text1"/>
          <w:kern w:val="24"/>
          <w:szCs w:val="24"/>
        </w:rPr>
        <w:t>During the period we have had five Business Support posts, two of which are senior roles. Staff vacancies during this time has meant that the service has not been able to operate at full capacity. Despite this child protection conferences have continued to be minuted to a high standard.</w:t>
      </w:r>
    </w:p>
    <w:p w14:paraId="4307215F" w14:textId="77777777" w:rsidR="00E56BEC" w:rsidRPr="006B5E99" w:rsidRDefault="00E56BEC" w:rsidP="00E56BEC">
      <w:pPr>
        <w:rPr>
          <w:rFonts w:hAnsi="Calibri"/>
          <w:color w:val="000000" w:themeColor="text1"/>
          <w:kern w:val="24"/>
          <w:szCs w:val="24"/>
        </w:rPr>
      </w:pPr>
      <w:r w:rsidRPr="006B5E99">
        <w:rPr>
          <w:rFonts w:hAnsi="Calibri"/>
          <w:color w:val="000000" w:themeColor="text1"/>
          <w:kern w:val="24"/>
          <w:szCs w:val="24"/>
        </w:rPr>
        <w:t xml:space="preserve">The dual role of the Independent Chairs who chair Child Protection Conferences and Childcare Reviews, is fully embedded in Milton Keynes. In addition to these, chairs will also be asked to chair Disruption Meetings and Managing Allegations Meetings where required. They may take a role in Secure Accommodation Reviews by being part of the panel, making decisions in respect of these children. It is an enormously experienced and settled team of professionals, some of whom have previous management experience and most of whom have been working with children and families in Milton Keynes for many years. </w:t>
      </w:r>
    </w:p>
    <w:p w14:paraId="03981ED2" w14:textId="77777777" w:rsidR="00E56BEC" w:rsidRPr="006B5E99" w:rsidRDefault="00E56BEC" w:rsidP="00E56BEC">
      <w:pPr>
        <w:rPr>
          <w:rFonts w:hAnsi="Calibri"/>
          <w:color w:val="000000" w:themeColor="text1"/>
          <w:kern w:val="24"/>
          <w:szCs w:val="24"/>
        </w:rPr>
      </w:pPr>
      <w:r w:rsidRPr="006B5E99">
        <w:rPr>
          <w:rFonts w:hAnsi="Calibri"/>
          <w:color w:val="000000" w:themeColor="text1"/>
          <w:kern w:val="24"/>
          <w:szCs w:val="24"/>
        </w:rPr>
        <w:t xml:space="preserve">The LADO service recruited an additional LADO who joined in May 2021 to respond to additional demand. Independent Chairs may still be expected to support the LADO on occasion. They continue to lead in relation to quality assurance activity, producing high quality reports for senior management. They represent the service at a variety of meetings and forums and occasionally undertake investigations. Chairs are linked to individual Social Work teams to ensure good communication and strengthen working relationships. </w:t>
      </w:r>
    </w:p>
    <w:p w14:paraId="08909FF4" w14:textId="77777777" w:rsidR="00EA3DE0" w:rsidRPr="00766998" w:rsidRDefault="00EA3DE0" w:rsidP="00766998">
      <w:pPr>
        <w:autoSpaceDE w:val="0"/>
        <w:autoSpaceDN w:val="0"/>
        <w:adjustRightInd w:val="0"/>
        <w:spacing w:after="0" w:line="240" w:lineRule="auto"/>
        <w:rPr>
          <w:rFonts w:ascii="Calibri" w:eastAsiaTheme="minorHAnsi" w:hAnsi="Calibri" w:cs="Calibri"/>
          <w:szCs w:val="24"/>
          <w:lang w:eastAsia="en-US"/>
        </w:rPr>
      </w:pPr>
    </w:p>
    <w:p w14:paraId="4465BA6E" w14:textId="595B66BD" w:rsidR="00C20FBE" w:rsidRPr="00C20FBE" w:rsidRDefault="00327126" w:rsidP="00C20FBE">
      <w:pPr>
        <w:pStyle w:val="Heading2"/>
        <w:rPr>
          <w:rFonts w:eastAsiaTheme="minorHAnsi"/>
          <w:lang w:eastAsia="en-US"/>
        </w:rPr>
      </w:pPr>
      <w:r>
        <w:rPr>
          <w:rFonts w:eastAsiaTheme="minorHAnsi"/>
          <w:lang w:eastAsia="en-US"/>
        </w:rPr>
        <w:t xml:space="preserve">Child Protection Consultations </w:t>
      </w:r>
    </w:p>
    <w:p w14:paraId="10D5E951" w14:textId="77777777" w:rsidR="00E01ADC" w:rsidRPr="006B5E99" w:rsidRDefault="00E01ADC" w:rsidP="00E01ADC">
      <w:pPr>
        <w:rPr>
          <w:rFonts w:hAnsi="Calibri"/>
          <w:color w:val="000000" w:themeColor="text1"/>
          <w:kern w:val="24"/>
          <w:szCs w:val="24"/>
        </w:rPr>
      </w:pPr>
      <w:r w:rsidRPr="006B5E99">
        <w:rPr>
          <w:rFonts w:hAnsi="Calibri"/>
          <w:color w:val="000000" w:themeColor="text1"/>
          <w:kern w:val="24"/>
          <w:szCs w:val="24"/>
        </w:rPr>
        <w:t>Child Protection Consultations are routinely offered by Independent Chairs who are available on a duty basis. Prior to the strategy meeting being convened, the social Worker is expected to complete a referral on the LCS system, outlining the concerns using a Signs of Safety approach. This should concisely explain the plan of work agreed with the line manager and forms the basis for discussion.</w:t>
      </w:r>
    </w:p>
    <w:p w14:paraId="79649095" w14:textId="77777777" w:rsidR="00E01ADC" w:rsidRPr="006B5E99" w:rsidRDefault="00E01ADC" w:rsidP="00E01ADC">
      <w:pPr>
        <w:rPr>
          <w:rFonts w:hAnsi="Calibri"/>
          <w:color w:val="000000" w:themeColor="text1"/>
          <w:kern w:val="24"/>
          <w:szCs w:val="24"/>
        </w:rPr>
      </w:pPr>
      <w:r w:rsidRPr="006B5E99">
        <w:rPr>
          <w:rFonts w:hAnsi="Calibri"/>
          <w:color w:val="000000" w:themeColor="text1"/>
          <w:kern w:val="24"/>
          <w:szCs w:val="24"/>
        </w:rPr>
        <w:t xml:space="preserve">The purpose of a consultation is to ensure that full consideration is given to all cases where a child protection concern is raised. The emphasis is on working collaboratively with the Social Worker to make a joint decision about how best to work with the family. In the event that an Initial Child Protection Conference is agreed, a Strategy Meeting will be convened, if not already arranged, to trigger the S.47 enquiries. This requires a conference to be held within 15 working days. </w:t>
      </w:r>
    </w:p>
    <w:p w14:paraId="220B91E7" w14:textId="77777777" w:rsidR="00E01ADC" w:rsidRDefault="00E01ADC" w:rsidP="00E01ADC">
      <w:pPr>
        <w:rPr>
          <w:rFonts w:hAnsi="Calibri"/>
          <w:b/>
          <w:bCs/>
          <w:color w:val="000000" w:themeColor="text1"/>
          <w:kern w:val="24"/>
          <w:sz w:val="32"/>
          <w:szCs w:val="32"/>
        </w:rPr>
      </w:pPr>
    </w:p>
    <w:p w14:paraId="30E90271" w14:textId="49C20FE8" w:rsidR="00E01ADC" w:rsidRDefault="00E01ADC" w:rsidP="00E01ADC">
      <w:pPr>
        <w:rPr>
          <w:rFonts w:hAnsi="Calibri"/>
          <w:b/>
          <w:bCs/>
          <w:color w:val="000000" w:themeColor="text1"/>
          <w:kern w:val="24"/>
          <w:sz w:val="32"/>
          <w:szCs w:val="32"/>
        </w:rPr>
      </w:pPr>
    </w:p>
    <w:p w14:paraId="34E925F4" w14:textId="6F61BFFA" w:rsidR="00A81821" w:rsidRDefault="00A81821" w:rsidP="00E01ADC">
      <w:pPr>
        <w:rPr>
          <w:rFonts w:hAnsi="Calibri"/>
          <w:b/>
          <w:bCs/>
          <w:color w:val="000000" w:themeColor="text1"/>
          <w:kern w:val="24"/>
          <w:sz w:val="32"/>
          <w:szCs w:val="32"/>
        </w:rPr>
      </w:pPr>
    </w:p>
    <w:p w14:paraId="140EDED2" w14:textId="77777777" w:rsidR="00A81821" w:rsidRDefault="00A81821" w:rsidP="00E01ADC">
      <w:pPr>
        <w:rPr>
          <w:rFonts w:hAnsi="Calibri"/>
          <w:b/>
          <w:bCs/>
          <w:color w:val="000000" w:themeColor="text1"/>
          <w:kern w:val="24"/>
          <w:sz w:val="32"/>
          <w:szCs w:val="32"/>
        </w:rPr>
      </w:pPr>
    </w:p>
    <w:p w14:paraId="760F7360" w14:textId="77777777" w:rsidR="00E01ADC" w:rsidRPr="006B5E99" w:rsidRDefault="00E01ADC" w:rsidP="00E01ADC">
      <w:pPr>
        <w:rPr>
          <w:rFonts w:hAnsi="Calibri"/>
          <w:color w:val="000000" w:themeColor="text1"/>
          <w:kern w:val="24"/>
          <w:sz w:val="32"/>
          <w:szCs w:val="32"/>
        </w:rPr>
      </w:pPr>
      <w:r w:rsidRPr="006B5E99">
        <w:rPr>
          <w:rFonts w:hAnsi="Calibri"/>
          <w:color w:val="000000" w:themeColor="text1"/>
          <w:kern w:val="24"/>
          <w:sz w:val="32"/>
          <w:szCs w:val="32"/>
        </w:rPr>
        <w:lastRenderedPageBreak/>
        <w:t>Number of CP consultations each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9"/>
        <w:gridCol w:w="1701"/>
        <w:gridCol w:w="1254"/>
        <w:gridCol w:w="1701"/>
        <w:gridCol w:w="1701"/>
      </w:tblGrid>
      <w:tr w:rsidR="00E01ADC" w:rsidRPr="006B5E99" w14:paraId="3870E0C5" w14:textId="77777777" w:rsidTr="00572BB4">
        <w:trPr>
          <w:jc w:val="center"/>
        </w:trPr>
        <w:tc>
          <w:tcPr>
            <w:tcW w:w="1999" w:type="dxa"/>
            <w:tcMar>
              <w:top w:w="0" w:type="dxa"/>
              <w:left w:w="108" w:type="dxa"/>
              <w:bottom w:w="0" w:type="dxa"/>
              <w:right w:w="108" w:type="dxa"/>
            </w:tcMar>
            <w:hideMark/>
          </w:tcPr>
          <w:p w14:paraId="49CA3145"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Year </w:t>
            </w:r>
          </w:p>
        </w:tc>
        <w:tc>
          <w:tcPr>
            <w:tcW w:w="1701" w:type="dxa"/>
            <w:tcMar>
              <w:top w:w="0" w:type="dxa"/>
              <w:left w:w="108" w:type="dxa"/>
              <w:bottom w:w="0" w:type="dxa"/>
              <w:right w:w="108" w:type="dxa"/>
            </w:tcMar>
            <w:hideMark/>
          </w:tcPr>
          <w:p w14:paraId="6CD10698"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2018/19</w:t>
            </w:r>
          </w:p>
        </w:tc>
        <w:tc>
          <w:tcPr>
            <w:tcW w:w="1254" w:type="dxa"/>
            <w:tcMar>
              <w:top w:w="0" w:type="dxa"/>
              <w:left w:w="108" w:type="dxa"/>
              <w:bottom w:w="0" w:type="dxa"/>
              <w:right w:w="108" w:type="dxa"/>
            </w:tcMar>
            <w:hideMark/>
          </w:tcPr>
          <w:p w14:paraId="29F6EFF4"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2019/20</w:t>
            </w:r>
          </w:p>
        </w:tc>
        <w:tc>
          <w:tcPr>
            <w:tcW w:w="1701" w:type="dxa"/>
            <w:tcMar>
              <w:top w:w="0" w:type="dxa"/>
              <w:left w:w="108" w:type="dxa"/>
              <w:bottom w:w="0" w:type="dxa"/>
              <w:right w:w="108" w:type="dxa"/>
            </w:tcMar>
            <w:hideMark/>
          </w:tcPr>
          <w:p w14:paraId="01602B80"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2020/21</w:t>
            </w:r>
          </w:p>
          <w:p w14:paraId="61718864"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p>
          <w:p w14:paraId="5B8A5BB0"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p>
        </w:tc>
        <w:tc>
          <w:tcPr>
            <w:tcW w:w="1701" w:type="dxa"/>
          </w:tcPr>
          <w:p w14:paraId="65EC61CD"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2021/22</w:t>
            </w:r>
          </w:p>
        </w:tc>
      </w:tr>
      <w:tr w:rsidR="00E01ADC" w:rsidRPr="006B5E99" w14:paraId="51BB2B0C" w14:textId="77777777" w:rsidTr="00572BB4">
        <w:trPr>
          <w:jc w:val="center"/>
        </w:trPr>
        <w:tc>
          <w:tcPr>
            <w:tcW w:w="1999" w:type="dxa"/>
            <w:tcMar>
              <w:top w:w="0" w:type="dxa"/>
              <w:left w:w="108" w:type="dxa"/>
              <w:bottom w:w="0" w:type="dxa"/>
              <w:right w:w="108" w:type="dxa"/>
            </w:tcMar>
            <w:hideMark/>
          </w:tcPr>
          <w:p w14:paraId="5D6BC39A"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Number of children </w:t>
            </w:r>
          </w:p>
        </w:tc>
        <w:tc>
          <w:tcPr>
            <w:tcW w:w="1701" w:type="dxa"/>
            <w:tcMar>
              <w:top w:w="0" w:type="dxa"/>
              <w:left w:w="108" w:type="dxa"/>
              <w:bottom w:w="0" w:type="dxa"/>
              <w:right w:w="108" w:type="dxa"/>
            </w:tcMar>
            <w:hideMark/>
          </w:tcPr>
          <w:p w14:paraId="0A3BC337"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321</w:t>
            </w:r>
          </w:p>
        </w:tc>
        <w:tc>
          <w:tcPr>
            <w:tcW w:w="1254" w:type="dxa"/>
            <w:tcMar>
              <w:top w:w="0" w:type="dxa"/>
              <w:left w:w="108" w:type="dxa"/>
              <w:bottom w:w="0" w:type="dxa"/>
              <w:right w:w="108" w:type="dxa"/>
            </w:tcMar>
            <w:hideMark/>
          </w:tcPr>
          <w:p w14:paraId="31BCC769"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420</w:t>
            </w:r>
          </w:p>
        </w:tc>
        <w:tc>
          <w:tcPr>
            <w:tcW w:w="1701" w:type="dxa"/>
            <w:tcMar>
              <w:top w:w="0" w:type="dxa"/>
              <w:left w:w="108" w:type="dxa"/>
              <w:bottom w:w="0" w:type="dxa"/>
              <w:right w:w="108" w:type="dxa"/>
            </w:tcMar>
            <w:hideMark/>
          </w:tcPr>
          <w:p w14:paraId="323AC3FD"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505</w:t>
            </w:r>
          </w:p>
        </w:tc>
        <w:tc>
          <w:tcPr>
            <w:tcW w:w="1701" w:type="dxa"/>
          </w:tcPr>
          <w:p w14:paraId="137D8745"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567</w:t>
            </w:r>
          </w:p>
        </w:tc>
      </w:tr>
      <w:tr w:rsidR="00E01ADC" w:rsidRPr="006B5E99" w14:paraId="1A137F27" w14:textId="77777777" w:rsidTr="00572BB4">
        <w:trPr>
          <w:jc w:val="center"/>
        </w:trPr>
        <w:tc>
          <w:tcPr>
            <w:tcW w:w="1999" w:type="dxa"/>
            <w:tcMar>
              <w:top w:w="0" w:type="dxa"/>
              <w:left w:w="108" w:type="dxa"/>
              <w:bottom w:w="0" w:type="dxa"/>
              <w:right w:w="108" w:type="dxa"/>
            </w:tcMar>
            <w:hideMark/>
          </w:tcPr>
          <w:p w14:paraId="146F420E"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Outcome ICPC</w:t>
            </w:r>
          </w:p>
        </w:tc>
        <w:tc>
          <w:tcPr>
            <w:tcW w:w="1701" w:type="dxa"/>
            <w:tcMar>
              <w:top w:w="0" w:type="dxa"/>
              <w:left w:w="108" w:type="dxa"/>
              <w:bottom w:w="0" w:type="dxa"/>
              <w:right w:w="108" w:type="dxa"/>
            </w:tcMar>
            <w:hideMark/>
          </w:tcPr>
          <w:p w14:paraId="0B45CCA2"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39.6%</w:t>
            </w:r>
          </w:p>
        </w:tc>
        <w:tc>
          <w:tcPr>
            <w:tcW w:w="1254" w:type="dxa"/>
            <w:tcMar>
              <w:top w:w="0" w:type="dxa"/>
              <w:left w:w="108" w:type="dxa"/>
              <w:bottom w:w="0" w:type="dxa"/>
              <w:right w:w="108" w:type="dxa"/>
            </w:tcMar>
            <w:hideMark/>
          </w:tcPr>
          <w:p w14:paraId="0FC82983"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38.3%</w:t>
            </w:r>
          </w:p>
        </w:tc>
        <w:tc>
          <w:tcPr>
            <w:tcW w:w="1701" w:type="dxa"/>
            <w:tcMar>
              <w:top w:w="0" w:type="dxa"/>
              <w:left w:w="108" w:type="dxa"/>
              <w:bottom w:w="0" w:type="dxa"/>
              <w:right w:w="108" w:type="dxa"/>
            </w:tcMar>
            <w:hideMark/>
          </w:tcPr>
          <w:p w14:paraId="0CED4515"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39.7%</w:t>
            </w:r>
          </w:p>
        </w:tc>
        <w:tc>
          <w:tcPr>
            <w:tcW w:w="1701" w:type="dxa"/>
          </w:tcPr>
          <w:p w14:paraId="057FFCD7" w14:textId="77777777" w:rsidR="00E01ADC" w:rsidRPr="006B5E99" w:rsidRDefault="00E01ADC" w:rsidP="00572BB4">
            <w:pPr>
              <w:autoSpaceDE w:val="0"/>
              <w:autoSpaceDN w:val="0"/>
              <w:adjustRightInd w:val="0"/>
              <w:spacing w:after="0" w:line="240" w:lineRule="auto"/>
              <w:jc w:val="center"/>
              <w:rPr>
                <w:rFonts w:hAnsi="Calibri"/>
                <w:color w:val="000000" w:themeColor="text1"/>
                <w:kern w:val="24"/>
                <w:szCs w:val="24"/>
              </w:rPr>
            </w:pPr>
            <w:r w:rsidRPr="006B5E99">
              <w:rPr>
                <w:rFonts w:hAnsi="Calibri"/>
                <w:color w:val="000000" w:themeColor="text1"/>
                <w:kern w:val="24"/>
                <w:szCs w:val="24"/>
              </w:rPr>
              <w:t>40.4%</w:t>
            </w:r>
          </w:p>
        </w:tc>
      </w:tr>
    </w:tbl>
    <w:p w14:paraId="7901B3BC"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p>
    <w:p w14:paraId="515938D2" w14:textId="366E973F" w:rsidR="00E01ADC" w:rsidRPr="006B5E99" w:rsidRDefault="00E01ADC" w:rsidP="00E01AD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The number of consultations has risen once again from 505 in 2020-21 to 567, a rise of 13%. The total rise since 2018/19 is almost 77%.</w:t>
      </w:r>
    </w:p>
    <w:p w14:paraId="66E59E23"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p>
    <w:p w14:paraId="11F09A5B" w14:textId="6D887BFD" w:rsidR="00E01ADC" w:rsidRPr="006B5E99" w:rsidRDefault="00E01ADC" w:rsidP="00E01AD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There is a very slight rise in the percentage of cases progressing to conference but </w:t>
      </w:r>
      <w:r w:rsidR="00095EA7" w:rsidRPr="006B5E99">
        <w:rPr>
          <w:rFonts w:hAnsi="Calibri"/>
          <w:color w:val="000000" w:themeColor="text1"/>
          <w:kern w:val="24"/>
          <w:szCs w:val="24"/>
        </w:rPr>
        <w:t>overall,</w:t>
      </w:r>
      <w:r w:rsidRPr="006B5E99">
        <w:rPr>
          <w:rFonts w:hAnsi="Calibri"/>
          <w:color w:val="000000" w:themeColor="text1"/>
          <w:kern w:val="24"/>
          <w:szCs w:val="24"/>
        </w:rPr>
        <w:t xml:space="preserve"> this figure remains very </w:t>
      </w:r>
      <w:r w:rsidR="00095EA7" w:rsidRPr="006B5E99">
        <w:rPr>
          <w:rFonts w:hAnsi="Calibri"/>
          <w:color w:val="000000" w:themeColor="text1"/>
          <w:kern w:val="24"/>
          <w:szCs w:val="24"/>
        </w:rPr>
        <w:t>consistent</w:t>
      </w:r>
      <w:r w:rsidRPr="006B5E99">
        <w:rPr>
          <w:rFonts w:hAnsi="Calibri"/>
          <w:color w:val="000000" w:themeColor="text1"/>
          <w:kern w:val="24"/>
          <w:szCs w:val="24"/>
        </w:rPr>
        <w:t xml:space="preserve"> over time.</w:t>
      </w:r>
    </w:p>
    <w:p w14:paraId="565E4F47" w14:textId="77777777" w:rsidR="00E01ADC" w:rsidRDefault="00E01ADC" w:rsidP="00E01ADC">
      <w:pPr>
        <w:autoSpaceDE w:val="0"/>
        <w:autoSpaceDN w:val="0"/>
        <w:adjustRightInd w:val="0"/>
        <w:spacing w:after="0" w:line="240" w:lineRule="auto"/>
        <w:rPr>
          <w:rFonts w:cs="Arial"/>
          <w:noProof/>
          <w:color w:val="202124"/>
          <w:sz w:val="26"/>
          <w:szCs w:val="26"/>
          <w:shd w:val="clear" w:color="auto" w:fill="FFFFFF"/>
        </w:rPr>
      </w:pPr>
    </w:p>
    <w:p w14:paraId="7B1435CC" w14:textId="77777777" w:rsidR="00E01ADC" w:rsidRPr="006B5E99" w:rsidRDefault="00E01ADC" w:rsidP="00E01ADC">
      <w:pPr>
        <w:autoSpaceDE w:val="0"/>
        <w:autoSpaceDN w:val="0"/>
        <w:adjustRightInd w:val="0"/>
        <w:spacing w:after="0" w:line="240" w:lineRule="auto"/>
        <w:rPr>
          <w:rFonts w:hAnsi="Calibri"/>
          <w:color w:val="000000" w:themeColor="text1"/>
          <w:kern w:val="24"/>
          <w:sz w:val="32"/>
          <w:szCs w:val="32"/>
        </w:rPr>
      </w:pPr>
      <w:r w:rsidRPr="006B5E99">
        <w:rPr>
          <w:rFonts w:hAnsi="Calibri"/>
          <w:color w:val="000000" w:themeColor="text1"/>
          <w:kern w:val="24"/>
          <w:sz w:val="32"/>
          <w:szCs w:val="32"/>
        </w:rPr>
        <w:t>2021/22 CP consultation category</w:t>
      </w:r>
    </w:p>
    <w:p w14:paraId="5160DF99" w14:textId="77777777" w:rsidR="00E01ADC" w:rsidRPr="00E66E8E" w:rsidRDefault="00E01ADC" w:rsidP="00E01ADC">
      <w:pPr>
        <w:autoSpaceDE w:val="0"/>
        <w:autoSpaceDN w:val="0"/>
        <w:adjustRightInd w:val="0"/>
        <w:spacing w:after="0" w:line="240" w:lineRule="auto"/>
        <w:jc w:val="center"/>
        <w:rPr>
          <w:rFonts w:hAnsi="Calibri"/>
          <w:b/>
          <w:bCs/>
          <w:color w:val="599F46"/>
          <w:kern w:val="2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3"/>
        <w:gridCol w:w="1701"/>
      </w:tblGrid>
      <w:tr w:rsidR="00E01ADC" w:rsidRPr="006B5E99" w14:paraId="0841A750" w14:textId="77777777" w:rsidTr="00572BB4">
        <w:trPr>
          <w:jc w:val="center"/>
        </w:trPr>
        <w:tc>
          <w:tcPr>
            <w:tcW w:w="3253" w:type="dxa"/>
            <w:tcMar>
              <w:top w:w="0" w:type="dxa"/>
              <w:left w:w="108" w:type="dxa"/>
              <w:bottom w:w="0" w:type="dxa"/>
              <w:right w:w="108" w:type="dxa"/>
            </w:tcMar>
            <w:hideMark/>
          </w:tcPr>
          <w:p w14:paraId="0C6EE09A"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Neglect</w:t>
            </w:r>
          </w:p>
        </w:tc>
        <w:tc>
          <w:tcPr>
            <w:tcW w:w="1701" w:type="dxa"/>
            <w:tcMar>
              <w:top w:w="0" w:type="dxa"/>
              <w:left w:w="108" w:type="dxa"/>
              <w:bottom w:w="0" w:type="dxa"/>
              <w:right w:w="108" w:type="dxa"/>
            </w:tcMar>
          </w:tcPr>
          <w:p w14:paraId="14AB3CA1"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58.4%</w:t>
            </w:r>
          </w:p>
        </w:tc>
      </w:tr>
      <w:tr w:rsidR="00E01ADC" w:rsidRPr="006B5E99" w14:paraId="743A074B" w14:textId="77777777" w:rsidTr="00572BB4">
        <w:trPr>
          <w:jc w:val="center"/>
        </w:trPr>
        <w:tc>
          <w:tcPr>
            <w:tcW w:w="3253" w:type="dxa"/>
            <w:tcMar>
              <w:top w:w="0" w:type="dxa"/>
              <w:left w:w="108" w:type="dxa"/>
              <w:bottom w:w="0" w:type="dxa"/>
              <w:right w:w="108" w:type="dxa"/>
            </w:tcMar>
            <w:hideMark/>
          </w:tcPr>
          <w:p w14:paraId="59BC4BBA"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Emotional Abuse</w:t>
            </w:r>
          </w:p>
        </w:tc>
        <w:tc>
          <w:tcPr>
            <w:tcW w:w="1701" w:type="dxa"/>
            <w:tcMar>
              <w:top w:w="0" w:type="dxa"/>
              <w:left w:w="108" w:type="dxa"/>
              <w:bottom w:w="0" w:type="dxa"/>
              <w:right w:w="108" w:type="dxa"/>
            </w:tcMar>
          </w:tcPr>
          <w:p w14:paraId="27B20A18"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28%</w:t>
            </w:r>
          </w:p>
        </w:tc>
      </w:tr>
      <w:tr w:rsidR="00E01ADC" w:rsidRPr="006B5E99" w14:paraId="597BC673" w14:textId="77777777" w:rsidTr="00572BB4">
        <w:trPr>
          <w:jc w:val="center"/>
        </w:trPr>
        <w:tc>
          <w:tcPr>
            <w:tcW w:w="3253" w:type="dxa"/>
            <w:tcMar>
              <w:top w:w="0" w:type="dxa"/>
              <w:left w:w="108" w:type="dxa"/>
              <w:bottom w:w="0" w:type="dxa"/>
              <w:right w:w="108" w:type="dxa"/>
            </w:tcMar>
            <w:hideMark/>
          </w:tcPr>
          <w:p w14:paraId="7136BA82"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Physical Abuse</w:t>
            </w:r>
          </w:p>
        </w:tc>
        <w:tc>
          <w:tcPr>
            <w:tcW w:w="1701" w:type="dxa"/>
            <w:tcMar>
              <w:top w:w="0" w:type="dxa"/>
              <w:left w:w="108" w:type="dxa"/>
              <w:bottom w:w="0" w:type="dxa"/>
              <w:right w:w="108" w:type="dxa"/>
            </w:tcMar>
          </w:tcPr>
          <w:p w14:paraId="5B9E0D94"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19.9%</w:t>
            </w:r>
          </w:p>
        </w:tc>
      </w:tr>
      <w:tr w:rsidR="00E01ADC" w:rsidRPr="006B5E99" w14:paraId="49128685" w14:textId="77777777" w:rsidTr="00572BB4">
        <w:trPr>
          <w:jc w:val="center"/>
        </w:trPr>
        <w:tc>
          <w:tcPr>
            <w:tcW w:w="3253" w:type="dxa"/>
            <w:tcMar>
              <w:top w:w="0" w:type="dxa"/>
              <w:left w:w="108" w:type="dxa"/>
              <w:bottom w:w="0" w:type="dxa"/>
              <w:right w:w="108" w:type="dxa"/>
            </w:tcMar>
            <w:hideMark/>
          </w:tcPr>
          <w:p w14:paraId="7C7901E4"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Sexual Abuse</w:t>
            </w:r>
          </w:p>
        </w:tc>
        <w:tc>
          <w:tcPr>
            <w:tcW w:w="1701" w:type="dxa"/>
            <w:tcMar>
              <w:top w:w="0" w:type="dxa"/>
              <w:left w:w="108" w:type="dxa"/>
              <w:bottom w:w="0" w:type="dxa"/>
              <w:right w:w="108" w:type="dxa"/>
            </w:tcMar>
          </w:tcPr>
          <w:p w14:paraId="494A790B"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0.7%</w:t>
            </w:r>
          </w:p>
        </w:tc>
      </w:tr>
    </w:tbl>
    <w:p w14:paraId="66BF68E4"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p>
    <w:p w14:paraId="5827E518"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*figures will be over 100% total because cases may have multiple prevalent issues this measures a proportion for the total cases. </w:t>
      </w:r>
    </w:p>
    <w:p w14:paraId="0D8CA3A3" w14:textId="77777777" w:rsidR="00E01ADC" w:rsidRDefault="00E01ADC" w:rsidP="00E01ADC">
      <w:pPr>
        <w:autoSpaceDE w:val="0"/>
        <w:autoSpaceDN w:val="0"/>
        <w:adjustRightInd w:val="0"/>
        <w:spacing w:after="0" w:line="240" w:lineRule="auto"/>
        <w:jc w:val="center"/>
        <w:rPr>
          <w:rFonts w:hAnsi="Calibri"/>
          <w:b/>
          <w:bCs/>
          <w:color w:val="599F46"/>
          <w:kern w:val="24"/>
          <w:sz w:val="26"/>
          <w:szCs w:val="26"/>
        </w:rPr>
      </w:pPr>
    </w:p>
    <w:p w14:paraId="676E567D" w14:textId="77777777" w:rsidR="00E01ADC" w:rsidRPr="006B5E99" w:rsidRDefault="00E01ADC" w:rsidP="00E01ADC">
      <w:pPr>
        <w:autoSpaceDE w:val="0"/>
        <w:autoSpaceDN w:val="0"/>
        <w:adjustRightInd w:val="0"/>
        <w:spacing w:after="0" w:line="240" w:lineRule="auto"/>
        <w:rPr>
          <w:rFonts w:hAnsi="Calibri"/>
          <w:color w:val="000000" w:themeColor="text1"/>
          <w:kern w:val="24"/>
          <w:sz w:val="32"/>
          <w:szCs w:val="32"/>
        </w:rPr>
      </w:pPr>
      <w:r w:rsidRPr="006B5E99">
        <w:rPr>
          <w:rFonts w:hAnsi="Calibri"/>
          <w:color w:val="000000" w:themeColor="text1"/>
          <w:kern w:val="24"/>
          <w:sz w:val="32"/>
          <w:szCs w:val="32"/>
        </w:rPr>
        <w:t>2021/22 CP consultation prevalent issues</w:t>
      </w:r>
    </w:p>
    <w:p w14:paraId="0EF8F50C" w14:textId="77777777" w:rsidR="00E01ADC" w:rsidRPr="00767C79" w:rsidRDefault="00E01ADC" w:rsidP="00E01ADC">
      <w:pPr>
        <w:autoSpaceDE w:val="0"/>
        <w:autoSpaceDN w:val="0"/>
        <w:adjustRightInd w:val="0"/>
        <w:spacing w:after="0" w:line="240" w:lineRule="auto"/>
        <w:jc w:val="center"/>
        <w:rPr>
          <w:rFonts w:cs="Arial"/>
          <w:noProof/>
          <w:color w:val="202124"/>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1271"/>
      </w:tblGrid>
      <w:tr w:rsidR="00E01ADC" w:rsidRPr="006B5E99" w14:paraId="7344A74C" w14:textId="77777777" w:rsidTr="00572BB4">
        <w:trPr>
          <w:jc w:val="center"/>
        </w:trPr>
        <w:tc>
          <w:tcPr>
            <w:tcW w:w="4675" w:type="dxa"/>
            <w:tcMar>
              <w:top w:w="0" w:type="dxa"/>
              <w:left w:w="108" w:type="dxa"/>
              <w:bottom w:w="0" w:type="dxa"/>
              <w:right w:w="108" w:type="dxa"/>
            </w:tcMar>
            <w:hideMark/>
          </w:tcPr>
          <w:p w14:paraId="7FDD7598"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Domestic abuse</w:t>
            </w:r>
          </w:p>
        </w:tc>
        <w:tc>
          <w:tcPr>
            <w:tcW w:w="1271" w:type="dxa"/>
            <w:tcMar>
              <w:top w:w="0" w:type="dxa"/>
              <w:left w:w="108" w:type="dxa"/>
              <w:bottom w:w="0" w:type="dxa"/>
              <w:right w:w="108" w:type="dxa"/>
            </w:tcMar>
          </w:tcPr>
          <w:p w14:paraId="6DF536CF"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43.6%</w:t>
            </w:r>
          </w:p>
        </w:tc>
      </w:tr>
      <w:tr w:rsidR="00E01ADC" w:rsidRPr="006B5E99" w14:paraId="51DB78EB" w14:textId="77777777" w:rsidTr="00572BB4">
        <w:trPr>
          <w:jc w:val="center"/>
        </w:trPr>
        <w:tc>
          <w:tcPr>
            <w:tcW w:w="4675" w:type="dxa"/>
            <w:tcMar>
              <w:top w:w="0" w:type="dxa"/>
              <w:left w:w="108" w:type="dxa"/>
              <w:bottom w:w="0" w:type="dxa"/>
              <w:right w:w="108" w:type="dxa"/>
            </w:tcMar>
            <w:hideMark/>
          </w:tcPr>
          <w:p w14:paraId="2BD2F171"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Parental mental health</w:t>
            </w:r>
          </w:p>
        </w:tc>
        <w:tc>
          <w:tcPr>
            <w:tcW w:w="1271" w:type="dxa"/>
            <w:tcMar>
              <w:top w:w="0" w:type="dxa"/>
              <w:left w:w="108" w:type="dxa"/>
              <w:bottom w:w="0" w:type="dxa"/>
              <w:right w:w="108" w:type="dxa"/>
            </w:tcMar>
          </w:tcPr>
          <w:p w14:paraId="56854601"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36.5%</w:t>
            </w:r>
          </w:p>
        </w:tc>
      </w:tr>
      <w:tr w:rsidR="00E01ADC" w:rsidRPr="006B5E99" w14:paraId="7A0BCF9C" w14:textId="77777777" w:rsidTr="00572BB4">
        <w:trPr>
          <w:jc w:val="center"/>
        </w:trPr>
        <w:tc>
          <w:tcPr>
            <w:tcW w:w="4675" w:type="dxa"/>
            <w:tcMar>
              <w:top w:w="0" w:type="dxa"/>
              <w:left w:w="108" w:type="dxa"/>
              <w:bottom w:w="0" w:type="dxa"/>
              <w:right w:w="108" w:type="dxa"/>
            </w:tcMar>
            <w:hideMark/>
          </w:tcPr>
          <w:p w14:paraId="6BBAA011"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Parental drug misuse</w:t>
            </w:r>
          </w:p>
        </w:tc>
        <w:tc>
          <w:tcPr>
            <w:tcW w:w="1271" w:type="dxa"/>
            <w:tcMar>
              <w:top w:w="0" w:type="dxa"/>
              <w:left w:w="108" w:type="dxa"/>
              <w:bottom w:w="0" w:type="dxa"/>
              <w:right w:w="108" w:type="dxa"/>
            </w:tcMar>
          </w:tcPr>
          <w:p w14:paraId="719B9E10"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12.7%</w:t>
            </w:r>
          </w:p>
        </w:tc>
      </w:tr>
      <w:tr w:rsidR="00E01ADC" w:rsidRPr="006B5E99" w14:paraId="53AFAB2C" w14:textId="77777777" w:rsidTr="00572BB4">
        <w:trPr>
          <w:jc w:val="center"/>
        </w:trPr>
        <w:tc>
          <w:tcPr>
            <w:tcW w:w="4675" w:type="dxa"/>
            <w:tcMar>
              <w:top w:w="0" w:type="dxa"/>
              <w:left w:w="108" w:type="dxa"/>
              <w:bottom w:w="0" w:type="dxa"/>
              <w:right w:w="108" w:type="dxa"/>
            </w:tcMar>
            <w:hideMark/>
          </w:tcPr>
          <w:p w14:paraId="322880FE"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Parental alcohol misuse</w:t>
            </w:r>
          </w:p>
        </w:tc>
        <w:tc>
          <w:tcPr>
            <w:tcW w:w="1271" w:type="dxa"/>
            <w:tcMar>
              <w:top w:w="0" w:type="dxa"/>
              <w:left w:w="108" w:type="dxa"/>
              <w:bottom w:w="0" w:type="dxa"/>
              <w:right w:w="108" w:type="dxa"/>
            </w:tcMar>
          </w:tcPr>
          <w:p w14:paraId="56E96AB6"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11.8%</w:t>
            </w:r>
          </w:p>
        </w:tc>
      </w:tr>
      <w:tr w:rsidR="00E01ADC" w:rsidRPr="006B5E99" w14:paraId="3DBC5653" w14:textId="77777777" w:rsidTr="00572BB4">
        <w:trPr>
          <w:jc w:val="center"/>
        </w:trPr>
        <w:tc>
          <w:tcPr>
            <w:tcW w:w="4675" w:type="dxa"/>
            <w:tcMar>
              <w:top w:w="0" w:type="dxa"/>
              <w:left w:w="108" w:type="dxa"/>
              <w:bottom w:w="0" w:type="dxa"/>
              <w:right w:w="108" w:type="dxa"/>
            </w:tcMar>
            <w:hideMark/>
          </w:tcPr>
          <w:p w14:paraId="154695C6"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Person posing a risk to children</w:t>
            </w:r>
          </w:p>
        </w:tc>
        <w:tc>
          <w:tcPr>
            <w:tcW w:w="1271" w:type="dxa"/>
            <w:tcMar>
              <w:top w:w="0" w:type="dxa"/>
              <w:left w:w="108" w:type="dxa"/>
              <w:bottom w:w="0" w:type="dxa"/>
              <w:right w:w="108" w:type="dxa"/>
            </w:tcMar>
          </w:tcPr>
          <w:p w14:paraId="4FEC77CA"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11.8%</w:t>
            </w:r>
          </w:p>
        </w:tc>
      </w:tr>
      <w:tr w:rsidR="00E01ADC" w:rsidRPr="006B5E99" w14:paraId="0ED23C3F" w14:textId="77777777" w:rsidTr="00572BB4">
        <w:trPr>
          <w:jc w:val="center"/>
        </w:trPr>
        <w:tc>
          <w:tcPr>
            <w:tcW w:w="4675" w:type="dxa"/>
            <w:tcMar>
              <w:top w:w="0" w:type="dxa"/>
              <w:left w:w="108" w:type="dxa"/>
              <w:bottom w:w="0" w:type="dxa"/>
              <w:right w:w="108" w:type="dxa"/>
            </w:tcMar>
            <w:hideMark/>
          </w:tcPr>
          <w:p w14:paraId="7D48951A"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Parental learning disability</w:t>
            </w:r>
          </w:p>
        </w:tc>
        <w:tc>
          <w:tcPr>
            <w:tcW w:w="1271" w:type="dxa"/>
            <w:tcMar>
              <w:top w:w="0" w:type="dxa"/>
              <w:left w:w="108" w:type="dxa"/>
              <w:bottom w:w="0" w:type="dxa"/>
              <w:right w:w="108" w:type="dxa"/>
            </w:tcMar>
          </w:tcPr>
          <w:p w14:paraId="648CF650"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2.8%</w:t>
            </w:r>
          </w:p>
        </w:tc>
      </w:tr>
      <w:tr w:rsidR="00E01ADC" w:rsidRPr="006B5E99" w14:paraId="0B386FFD" w14:textId="77777777" w:rsidTr="00572BB4">
        <w:trPr>
          <w:jc w:val="center"/>
        </w:trPr>
        <w:tc>
          <w:tcPr>
            <w:tcW w:w="4675" w:type="dxa"/>
            <w:tcMar>
              <w:top w:w="0" w:type="dxa"/>
              <w:left w:w="108" w:type="dxa"/>
              <w:bottom w:w="0" w:type="dxa"/>
              <w:right w:w="108" w:type="dxa"/>
            </w:tcMar>
            <w:hideMark/>
          </w:tcPr>
          <w:p w14:paraId="325E06EB"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Parental physical disability</w:t>
            </w:r>
          </w:p>
        </w:tc>
        <w:tc>
          <w:tcPr>
            <w:tcW w:w="1271" w:type="dxa"/>
            <w:tcMar>
              <w:top w:w="0" w:type="dxa"/>
              <w:left w:w="108" w:type="dxa"/>
              <w:bottom w:w="0" w:type="dxa"/>
              <w:right w:w="108" w:type="dxa"/>
            </w:tcMar>
          </w:tcPr>
          <w:p w14:paraId="5C3C2A87"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0.7%</w:t>
            </w:r>
          </w:p>
        </w:tc>
      </w:tr>
      <w:tr w:rsidR="00E01ADC" w:rsidRPr="006B5E99" w14:paraId="174A71F2" w14:textId="77777777" w:rsidTr="00572BB4">
        <w:trPr>
          <w:jc w:val="center"/>
        </w:trPr>
        <w:tc>
          <w:tcPr>
            <w:tcW w:w="4675" w:type="dxa"/>
            <w:tcMar>
              <w:top w:w="0" w:type="dxa"/>
              <w:left w:w="108" w:type="dxa"/>
              <w:bottom w:w="0" w:type="dxa"/>
              <w:right w:w="108" w:type="dxa"/>
            </w:tcMar>
            <w:hideMark/>
          </w:tcPr>
          <w:p w14:paraId="0F2CE274"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Parental ill health </w:t>
            </w:r>
          </w:p>
        </w:tc>
        <w:tc>
          <w:tcPr>
            <w:tcW w:w="1271" w:type="dxa"/>
            <w:tcMar>
              <w:top w:w="0" w:type="dxa"/>
              <w:left w:w="108" w:type="dxa"/>
              <w:bottom w:w="0" w:type="dxa"/>
              <w:right w:w="108" w:type="dxa"/>
            </w:tcMar>
          </w:tcPr>
          <w:p w14:paraId="47F82FB1"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1.4%</w:t>
            </w:r>
          </w:p>
        </w:tc>
      </w:tr>
      <w:tr w:rsidR="00E01ADC" w:rsidRPr="006B5E99" w14:paraId="567C980F" w14:textId="77777777" w:rsidTr="00572BB4">
        <w:trPr>
          <w:jc w:val="center"/>
        </w:trPr>
        <w:tc>
          <w:tcPr>
            <w:tcW w:w="4675" w:type="dxa"/>
            <w:tcMar>
              <w:top w:w="0" w:type="dxa"/>
              <w:left w:w="108" w:type="dxa"/>
              <w:bottom w:w="0" w:type="dxa"/>
              <w:right w:w="108" w:type="dxa"/>
            </w:tcMar>
            <w:hideMark/>
          </w:tcPr>
          <w:p w14:paraId="1E01FFD2"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Child Sexual Exploitation / Child Criminal Exploitation</w:t>
            </w:r>
          </w:p>
        </w:tc>
        <w:tc>
          <w:tcPr>
            <w:tcW w:w="1271" w:type="dxa"/>
            <w:tcMar>
              <w:top w:w="0" w:type="dxa"/>
              <w:left w:w="108" w:type="dxa"/>
              <w:bottom w:w="0" w:type="dxa"/>
              <w:right w:w="108" w:type="dxa"/>
            </w:tcMar>
          </w:tcPr>
          <w:p w14:paraId="4DBFE9E3"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2.6%</w:t>
            </w:r>
          </w:p>
        </w:tc>
      </w:tr>
      <w:tr w:rsidR="00E01ADC" w:rsidRPr="006B5E99" w14:paraId="400D844A" w14:textId="77777777" w:rsidTr="00572BB4">
        <w:trPr>
          <w:jc w:val="center"/>
        </w:trPr>
        <w:tc>
          <w:tcPr>
            <w:tcW w:w="4675" w:type="dxa"/>
            <w:tcMar>
              <w:top w:w="0" w:type="dxa"/>
              <w:left w:w="108" w:type="dxa"/>
              <w:bottom w:w="0" w:type="dxa"/>
              <w:right w:w="108" w:type="dxa"/>
            </w:tcMar>
            <w:hideMark/>
          </w:tcPr>
          <w:p w14:paraId="04E25530"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No issues identified</w:t>
            </w:r>
          </w:p>
        </w:tc>
        <w:tc>
          <w:tcPr>
            <w:tcW w:w="1271" w:type="dxa"/>
            <w:tcMar>
              <w:top w:w="0" w:type="dxa"/>
              <w:left w:w="108" w:type="dxa"/>
              <w:bottom w:w="0" w:type="dxa"/>
              <w:right w:w="108" w:type="dxa"/>
            </w:tcMar>
          </w:tcPr>
          <w:p w14:paraId="79EACED4" w14:textId="77777777" w:rsidR="00E01ADC" w:rsidRPr="006B5E99" w:rsidRDefault="00E01AD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3.5%</w:t>
            </w:r>
          </w:p>
        </w:tc>
      </w:tr>
    </w:tbl>
    <w:p w14:paraId="6198ECAA"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p>
    <w:p w14:paraId="42BC112C"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*figures will be over 100% total because cases may have multiple prevalent issues this measures a proportion for the total cases. </w:t>
      </w:r>
    </w:p>
    <w:p w14:paraId="43EB8F8A" w14:textId="77777777" w:rsidR="00E01ADC" w:rsidRPr="006B5E99" w:rsidRDefault="00E01ADC" w:rsidP="00E01ADC">
      <w:pPr>
        <w:autoSpaceDE w:val="0"/>
        <w:autoSpaceDN w:val="0"/>
        <w:adjustRightInd w:val="0"/>
        <w:spacing w:after="0" w:line="240" w:lineRule="auto"/>
        <w:rPr>
          <w:rFonts w:hAnsi="Calibri"/>
          <w:color w:val="000000" w:themeColor="text1"/>
          <w:kern w:val="24"/>
          <w:szCs w:val="24"/>
        </w:rPr>
      </w:pPr>
    </w:p>
    <w:p w14:paraId="3EEE70B5" w14:textId="5193C020" w:rsidR="00E01ADC" w:rsidRPr="006B5E99" w:rsidRDefault="00E01ADC" w:rsidP="00E01AD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Domestic abuse remains the most prevalent issue in relation to child protection consultations followed closely by parental mental health with parental drug and </w:t>
      </w:r>
      <w:r w:rsidR="00095EA7" w:rsidRPr="006B5E99">
        <w:rPr>
          <w:rFonts w:hAnsi="Calibri"/>
          <w:color w:val="000000" w:themeColor="text1"/>
          <w:kern w:val="24"/>
          <w:szCs w:val="24"/>
        </w:rPr>
        <w:t>alcohol</w:t>
      </w:r>
      <w:r w:rsidRPr="006B5E99">
        <w:rPr>
          <w:rFonts w:hAnsi="Calibri"/>
          <w:color w:val="000000" w:themeColor="text1"/>
          <w:kern w:val="24"/>
          <w:szCs w:val="24"/>
        </w:rPr>
        <w:t xml:space="preserve"> use and person posing a risk to children following behind. The percentages are very similar to the previous year. </w:t>
      </w:r>
    </w:p>
    <w:p w14:paraId="74F21D3F" w14:textId="77777777" w:rsidR="00C20FBE" w:rsidRP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705B71BF" w14:textId="466E215B" w:rsidR="00C20FBE" w:rsidRPr="00C20FBE" w:rsidRDefault="00F166B6" w:rsidP="00C20FBE">
      <w:pPr>
        <w:pStyle w:val="Heading2"/>
        <w:rPr>
          <w:rFonts w:eastAsiaTheme="minorHAnsi"/>
          <w:lang w:eastAsia="en-US"/>
        </w:rPr>
      </w:pPr>
      <w:r>
        <w:rPr>
          <w:rFonts w:eastAsiaTheme="minorHAnsi"/>
          <w:lang w:eastAsia="en-US"/>
        </w:rPr>
        <w:lastRenderedPageBreak/>
        <w:t xml:space="preserve">Outcome of consultations </w:t>
      </w:r>
    </w:p>
    <w:p w14:paraId="3C19F41B" w14:textId="77777777" w:rsidR="005D3E8C" w:rsidRPr="006B5E99" w:rsidRDefault="005D3E8C" w:rsidP="005D3E8C">
      <w:pPr>
        <w:autoSpaceDE w:val="0"/>
        <w:autoSpaceDN w:val="0"/>
        <w:adjustRightInd w:val="0"/>
        <w:spacing w:after="0" w:line="240" w:lineRule="auto"/>
        <w:rPr>
          <w:rFonts w:hAnsi="Calibri"/>
          <w:color w:val="599F46"/>
          <w:kern w:val="24"/>
          <w:sz w:val="26"/>
          <w:szCs w:val="26"/>
        </w:rPr>
      </w:pPr>
      <w:r w:rsidRPr="006B5E99">
        <w:rPr>
          <w:rFonts w:hAnsi="Calibri"/>
          <w:color w:val="000000" w:themeColor="text1"/>
          <w:kern w:val="24"/>
          <w:sz w:val="32"/>
          <w:szCs w:val="32"/>
        </w:rPr>
        <w:t>2021/22 Outcome of CP Consultations</w:t>
      </w:r>
    </w:p>
    <w:p w14:paraId="4AB696D6" w14:textId="77777777" w:rsidR="005D3E8C" w:rsidRPr="00E66E8E" w:rsidRDefault="005D3E8C" w:rsidP="005D3E8C">
      <w:pPr>
        <w:autoSpaceDE w:val="0"/>
        <w:autoSpaceDN w:val="0"/>
        <w:adjustRightInd w:val="0"/>
        <w:spacing w:after="0" w:line="240" w:lineRule="auto"/>
        <w:jc w:val="center"/>
        <w:rPr>
          <w:rFonts w:hAnsi="Calibri"/>
          <w:b/>
          <w:bCs/>
          <w:color w:val="599F46"/>
          <w:kern w:val="2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4"/>
        <w:gridCol w:w="1559"/>
      </w:tblGrid>
      <w:tr w:rsidR="005D3E8C" w:rsidRPr="006B5E99" w14:paraId="6790BF87" w14:textId="77777777" w:rsidTr="00572BB4">
        <w:trPr>
          <w:jc w:val="center"/>
        </w:trPr>
        <w:tc>
          <w:tcPr>
            <w:tcW w:w="5944" w:type="dxa"/>
            <w:tcMar>
              <w:top w:w="0" w:type="dxa"/>
              <w:left w:w="108" w:type="dxa"/>
              <w:bottom w:w="0" w:type="dxa"/>
              <w:right w:w="108" w:type="dxa"/>
            </w:tcMar>
            <w:hideMark/>
          </w:tcPr>
          <w:p w14:paraId="59C56037"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Initial Child Protection Conference</w:t>
            </w:r>
          </w:p>
        </w:tc>
        <w:tc>
          <w:tcPr>
            <w:tcW w:w="1559" w:type="dxa"/>
            <w:tcMar>
              <w:top w:w="0" w:type="dxa"/>
              <w:left w:w="108" w:type="dxa"/>
              <w:bottom w:w="0" w:type="dxa"/>
              <w:right w:w="108" w:type="dxa"/>
            </w:tcMar>
          </w:tcPr>
          <w:p w14:paraId="0408FAF8"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40.4%</w:t>
            </w:r>
          </w:p>
        </w:tc>
      </w:tr>
      <w:tr w:rsidR="005D3E8C" w:rsidRPr="006B5E99" w14:paraId="30FF74A4" w14:textId="77777777" w:rsidTr="00572BB4">
        <w:trPr>
          <w:jc w:val="center"/>
        </w:trPr>
        <w:tc>
          <w:tcPr>
            <w:tcW w:w="5944" w:type="dxa"/>
            <w:tcMar>
              <w:top w:w="0" w:type="dxa"/>
              <w:left w:w="108" w:type="dxa"/>
              <w:bottom w:w="0" w:type="dxa"/>
              <w:right w:w="108" w:type="dxa"/>
            </w:tcMar>
            <w:hideMark/>
          </w:tcPr>
          <w:p w14:paraId="37108A2A"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Continue with child in Need plan</w:t>
            </w:r>
          </w:p>
        </w:tc>
        <w:tc>
          <w:tcPr>
            <w:tcW w:w="1559" w:type="dxa"/>
            <w:tcMar>
              <w:top w:w="0" w:type="dxa"/>
              <w:left w:w="108" w:type="dxa"/>
              <w:bottom w:w="0" w:type="dxa"/>
              <w:right w:w="108" w:type="dxa"/>
            </w:tcMar>
          </w:tcPr>
          <w:p w14:paraId="10914B39"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42.0%</w:t>
            </w:r>
          </w:p>
        </w:tc>
      </w:tr>
      <w:tr w:rsidR="005D3E8C" w:rsidRPr="006B5E99" w14:paraId="4EB8AE67" w14:textId="77777777" w:rsidTr="00572BB4">
        <w:trPr>
          <w:jc w:val="center"/>
        </w:trPr>
        <w:tc>
          <w:tcPr>
            <w:tcW w:w="5944" w:type="dxa"/>
            <w:tcMar>
              <w:top w:w="0" w:type="dxa"/>
              <w:left w:w="108" w:type="dxa"/>
              <w:bottom w:w="0" w:type="dxa"/>
              <w:right w:w="108" w:type="dxa"/>
            </w:tcMar>
            <w:hideMark/>
          </w:tcPr>
          <w:p w14:paraId="532A947D"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Strategy meeting to be held</w:t>
            </w:r>
          </w:p>
        </w:tc>
        <w:tc>
          <w:tcPr>
            <w:tcW w:w="1559" w:type="dxa"/>
            <w:tcMar>
              <w:top w:w="0" w:type="dxa"/>
              <w:left w:w="108" w:type="dxa"/>
              <w:bottom w:w="0" w:type="dxa"/>
              <w:right w:w="108" w:type="dxa"/>
            </w:tcMar>
          </w:tcPr>
          <w:p w14:paraId="238F623E"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18.0%</w:t>
            </w:r>
          </w:p>
        </w:tc>
      </w:tr>
      <w:tr w:rsidR="005D3E8C" w:rsidRPr="006B5E99" w14:paraId="38A9E03A" w14:textId="77777777" w:rsidTr="00572BB4">
        <w:trPr>
          <w:jc w:val="center"/>
        </w:trPr>
        <w:tc>
          <w:tcPr>
            <w:tcW w:w="5944" w:type="dxa"/>
            <w:tcMar>
              <w:top w:w="0" w:type="dxa"/>
              <w:left w:w="108" w:type="dxa"/>
              <w:bottom w:w="0" w:type="dxa"/>
              <w:right w:w="108" w:type="dxa"/>
            </w:tcMar>
            <w:hideMark/>
          </w:tcPr>
          <w:p w14:paraId="1E078301"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Legal advice/PLO</w:t>
            </w:r>
          </w:p>
        </w:tc>
        <w:tc>
          <w:tcPr>
            <w:tcW w:w="1559" w:type="dxa"/>
            <w:tcMar>
              <w:top w:w="0" w:type="dxa"/>
              <w:left w:w="108" w:type="dxa"/>
              <w:bottom w:w="0" w:type="dxa"/>
              <w:right w:w="108" w:type="dxa"/>
            </w:tcMar>
          </w:tcPr>
          <w:p w14:paraId="2139922F"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5.1%</w:t>
            </w:r>
          </w:p>
        </w:tc>
      </w:tr>
      <w:tr w:rsidR="005D3E8C" w:rsidRPr="006B5E99" w14:paraId="10964E6E" w14:textId="77777777" w:rsidTr="00572BB4">
        <w:trPr>
          <w:jc w:val="center"/>
        </w:trPr>
        <w:tc>
          <w:tcPr>
            <w:tcW w:w="5944" w:type="dxa"/>
            <w:tcMar>
              <w:top w:w="0" w:type="dxa"/>
              <w:left w:w="108" w:type="dxa"/>
              <w:bottom w:w="0" w:type="dxa"/>
              <w:right w:w="108" w:type="dxa"/>
            </w:tcMar>
            <w:hideMark/>
          </w:tcPr>
          <w:p w14:paraId="680BF207"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Review following further information gathering</w:t>
            </w:r>
          </w:p>
        </w:tc>
        <w:tc>
          <w:tcPr>
            <w:tcW w:w="1559" w:type="dxa"/>
            <w:tcMar>
              <w:top w:w="0" w:type="dxa"/>
              <w:left w:w="108" w:type="dxa"/>
              <w:bottom w:w="0" w:type="dxa"/>
              <w:right w:w="108" w:type="dxa"/>
            </w:tcMar>
          </w:tcPr>
          <w:p w14:paraId="2D50D208"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8.5%</w:t>
            </w:r>
          </w:p>
        </w:tc>
      </w:tr>
      <w:tr w:rsidR="005D3E8C" w:rsidRPr="006B5E99" w14:paraId="22385EFA" w14:textId="77777777" w:rsidTr="00572BB4">
        <w:trPr>
          <w:jc w:val="center"/>
        </w:trPr>
        <w:tc>
          <w:tcPr>
            <w:tcW w:w="5944" w:type="dxa"/>
            <w:tcMar>
              <w:top w:w="0" w:type="dxa"/>
              <w:left w:w="108" w:type="dxa"/>
              <w:bottom w:w="0" w:type="dxa"/>
              <w:right w:w="108" w:type="dxa"/>
            </w:tcMar>
            <w:hideMark/>
          </w:tcPr>
          <w:p w14:paraId="714B9D69"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Mapping to be completed</w:t>
            </w:r>
          </w:p>
        </w:tc>
        <w:tc>
          <w:tcPr>
            <w:tcW w:w="1559" w:type="dxa"/>
            <w:tcMar>
              <w:top w:w="0" w:type="dxa"/>
              <w:left w:w="108" w:type="dxa"/>
              <w:bottom w:w="0" w:type="dxa"/>
              <w:right w:w="108" w:type="dxa"/>
            </w:tcMar>
          </w:tcPr>
          <w:p w14:paraId="7CE2C1F9"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0.9%</w:t>
            </w:r>
          </w:p>
        </w:tc>
      </w:tr>
      <w:tr w:rsidR="005D3E8C" w:rsidRPr="006B5E99" w14:paraId="4D176A0D" w14:textId="77777777" w:rsidTr="00572BB4">
        <w:trPr>
          <w:jc w:val="center"/>
        </w:trPr>
        <w:tc>
          <w:tcPr>
            <w:tcW w:w="5944" w:type="dxa"/>
            <w:tcMar>
              <w:top w:w="0" w:type="dxa"/>
              <w:left w:w="108" w:type="dxa"/>
              <w:bottom w:w="0" w:type="dxa"/>
              <w:right w:w="108" w:type="dxa"/>
            </w:tcMar>
            <w:hideMark/>
          </w:tcPr>
          <w:p w14:paraId="67A0577D"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Other</w:t>
            </w:r>
          </w:p>
        </w:tc>
        <w:tc>
          <w:tcPr>
            <w:tcW w:w="1559" w:type="dxa"/>
            <w:tcMar>
              <w:top w:w="0" w:type="dxa"/>
              <w:left w:w="108" w:type="dxa"/>
              <w:bottom w:w="0" w:type="dxa"/>
              <w:right w:w="108" w:type="dxa"/>
            </w:tcMar>
          </w:tcPr>
          <w:p w14:paraId="0D4938DF" w14:textId="77777777" w:rsidR="005D3E8C" w:rsidRPr="006B5E99" w:rsidRDefault="005D3E8C"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4.1%</w:t>
            </w:r>
          </w:p>
        </w:tc>
      </w:tr>
    </w:tbl>
    <w:p w14:paraId="164C408E"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p>
    <w:p w14:paraId="0655342C"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In 2021-22 the data indicates that 40.4% of consultations progress straight to an initial child protection conference (as compared with 39.7% in 2020-21). In 42% of cases the decision is made to continue with a child in need plan. This compares with 28.1% which is a significant rise. This may, in part be because options that were previously available such as suggesting a mapping, should no longer be used. This is because this is embedded in the Signs of Safety approach to working with families.</w:t>
      </w:r>
    </w:p>
    <w:p w14:paraId="0DBF3263"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p>
    <w:p w14:paraId="7AFCAE7E"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Where a strategy meeting is recommended, a significant number of these will also progress to conference. It is important to note that a strategy meeting is always required to trigger a S.47 and a conference. In this period 18% of cases proceeded to a strategy meeting. </w:t>
      </w:r>
    </w:p>
    <w:p w14:paraId="4ABF1042"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p>
    <w:p w14:paraId="1EDF90D1" w14:textId="6FC1C3AB" w:rsidR="005D3E8C" w:rsidRPr="006B5E99" w:rsidRDefault="005D3E8C" w:rsidP="005D3E8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A very small number of cases were signposted to mapping </w:t>
      </w:r>
      <w:r w:rsidR="00095EA7" w:rsidRPr="006B5E99">
        <w:rPr>
          <w:rFonts w:hAnsi="Calibri"/>
          <w:color w:val="000000" w:themeColor="text1"/>
          <w:kern w:val="24"/>
          <w:szCs w:val="24"/>
        </w:rPr>
        <w:t>during</w:t>
      </w:r>
      <w:r w:rsidRPr="006B5E99">
        <w:rPr>
          <w:rFonts w:hAnsi="Calibri"/>
          <w:color w:val="000000" w:themeColor="text1"/>
          <w:kern w:val="24"/>
          <w:szCs w:val="24"/>
        </w:rPr>
        <w:t xml:space="preserve"> the period 2021-22. This is no longer a separate activity as it is embedded in the work Social Workers will be doing with families and should not be seen in the figures for 2022-23.</w:t>
      </w:r>
    </w:p>
    <w:p w14:paraId="01C3576E" w14:textId="77777777" w:rsidR="005D3E8C" w:rsidRPr="006B5E99" w:rsidRDefault="005D3E8C" w:rsidP="005D3E8C">
      <w:pPr>
        <w:autoSpaceDE w:val="0"/>
        <w:autoSpaceDN w:val="0"/>
        <w:adjustRightInd w:val="0"/>
        <w:spacing w:after="0" w:line="240" w:lineRule="auto"/>
        <w:rPr>
          <w:rFonts w:hAnsi="Calibri"/>
          <w:color w:val="000000" w:themeColor="text1"/>
          <w:kern w:val="24"/>
          <w:szCs w:val="24"/>
        </w:rPr>
      </w:pPr>
    </w:p>
    <w:p w14:paraId="3DFDBE99" w14:textId="11513717" w:rsidR="005D3E8C" w:rsidRPr="006B5E99" w:rsidRDefault="005D3E8C" w:rsidP="005D3E8C">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The challenge remains ensuring that cases are brought to consultation in a timely manner. The Social worker will demonstrate the work that has already been undertaken with a family to effect change and will present the plan for intervention going forward. It is important to ensure that families have been given an opportunity to respond </w:t>
      </w:r>
      <w:r w:rsidR="00095EA7" w:rsidRPr="006B5E99">
        <w:rPr>
          <w:rFonts w:hAnsi="Calibri"/>
          <w:color w:val="000000" w:themeColor="text1"/>
          <w:kern w:val="24"/>
          <w:szCs w:val="24"/>
        </w:rPr>
        <w:t>positively</w:t>
      </w:r>
      <w:r w:rsidRPr="006B5E99">
        <w:rPr>
          <w:rFonts w:hAnsi="Calibri"/>
          <w:color w:val="000000" w:themeColor="text1"/>
          <w:kern w:val="24"/>
          <w:szCs w:val="24"/>
        </w:rPr>
        <w:t xml:space="preserve"> to a Child Protection Plan before any legal route is pursued, if at all possible. The Safeguarding Manager routinely attends the PLO panel to ensure that all cases where PLO is proposed have been reviewed by the safeguarding service. In exceptional circumstances it is necessary to progress to proceedings very quicky in response to serious safeguarding concerns as this is the only safe course of action to protect children. </w:t>
      </w:r>
    </w:p>
    <w:p w14:paraId="069BD65C" w14:textId="77777777" w:rsidR="000E288A" w:rsidRDefault="000E288A" w:rsidP="000E288A">
      <w:pPr>
        <w:pStyle w:val="Default"/>
      </w:pPr>
    </w:p>
    <w:p w14:paraId="237B3AFA" w14:textId="03CDBC34" w:rsidR="000E288A" w:rsidRDefault="00F758BC" w:rsidP="000E288A">
      <w:pPr>
        <w:pStyle w:val="Heading2"/>
      </w:pPr>
      <w:r>
        <w:t xml:space="preserve">Child Protection </w:t>
      </w:r>
      <w:r w:rsidR="00727248">
        <w:t>Conferences</w:t>
      </w:r>
    </w:p>
    <w:p w14:paraId="7328B022"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The number of children subject to a Child Protection Plans at 31 March 2022 was 181 as compared to 185 the previous year. </w:t>
      </w:r>
    </w:p>
    <w:p w14:paraId="7AFA0AF3"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p>
    <w:p w14:paraId="6582FD31"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This represents 27.3 children per 10,000 of the 0-17 year old population. A slight increase in the number of plans as compared with the previous year. This remains significantly below the national figures and those of our statistical neighbours.  </w:t>
      </w:r>
    </w:p>
    <w:p w14:paraId="6D3836CF" w14:textId="1986E1A7" w:rsidR="003C41A1" w:rsidRDefault="003C41A1" w:rsidP="003C41A1">
      <w:pPr>
        <w:autoSpaceDE w:val="0"/>
        <w:autoSpaceDN w:val="0"/>
        <w:adjustRightInd w:val="0"/>
        <w:spacing w:after="0" w:line="240" w:lineRule="auto"/>
        <w:rPr>
          <w:rFonts w:cs="Arial"/>
          <w:noProof/>
          <w:color w:val="202124"/>
          <w:sz w:val="26"/>
          <w:szCs w:val="26"/>
          <w:shd w:val="clear" w:color="auto" w:fill="FFFFFF"/>
        </w:rPr>
      </w:pPr>
    </w:p>
    <w:p w14:paraId="668B8275" w14:textId="77777777" w:rsidR="00A81821" w:rsidRPr="00767C79" w:rsidRDefault="00A81821" w:rsidP="003C41A1">
      <w:pPr>
        <w:autoSpaceDE w:val="0"/>
        <w:autoSpaceDN w:val="0"/>
        <w:adjustRightInd w:val="0"/>
        <w:spacing w:after="0" w:line="240" w:lineRule="auto"/>
        <w:rPr>
          <w:rFonts w:cs="Arial"/>
          <w:noProof/>
          <w:color w:val="202124"/>
          <w:sz w:val="26"/>
          <w:szCs w:val="26"/>
          <w:shd w:val="clear" w:color="auto" w:fill="FFFFFF"/>
        </w:rPr>
      </w:pPr>
    </w:p>
    <w:p w14:paraId="209BA6A0" w14:textId="77777777" w:rsidR="003C41A1" w:rsidRPr="006B5E99" w:rsidRDefault="003C41A1" w:rsidP="00A81821">
      <w:pPr>
        <w:pStyle w:val="Heading3"/>
        <w:rPr>
          <w:rFonts w:eastAsiaTheme="minorEastAsia"/>
        </w:rPr>
      </w:pPr>
      <w:r w:rsidRPr="006B5E99">
        <w:rPr>
          <w:rFonts w:eastAsiaTheme="minorEastAsia"/>
        </w:rPr>
        <w:lastRenderedPageBreak/>
        <w:t>Conferences and plans</w:t>
      </w:r>
    </w:p>
    <w:p w14:paraId="0E5412AF" w14:textId="77777777" w:rsidR="003C41A1" w:rsidRPr="00E66E8E" w:rsidRDefault="003C41A1" w:rsidP="003C41A1">
      <w:pPr>
        <w:spacing w:after="0" w:line="240" w:lineRule="auto"/>
        <w:jc w:val="both"/>
        <w:rPr>
          <w:rFonts w:cs="Arial"/>
          <w:noProof/>
          <w:color w:val="202124"/>
          <w:sz w:val="26"/>
          <w:szCs w:val="26"/>
          <w:shd w:val="clear" w:color="auto" w:fill="FFFFFF"/>
        </w:rPr>
      </w:pPr>
    </w:p>
    <w:p w14:paraId="4A5D6CC9" w14:textId="77777777" w:rsidR="003C41A1" w:rsidRPr="006B5E99" w:rsidRDefault="003C41A1" w:rsidP="003C41A1">
      <w:pPr>
        <w:spacing w:after="0" w:line="240" w:lineRule="auto"/>
        <w:jc w:val="center"/>
        <w:rPr>
          <w:rFonts w:hAnsi="Calibri"/>
          <w:color w:val="000000" w:themeColor="text1"/>
          <w:kern w:val="24"/>
          <w:sz w:val="32"/>
          <w:szCs w:val="32"/>
        </w:rPr>
      </w:pPr>
      <w:r w:rsidRPr="006B5E99">
        <w:rPr>
          <w:rFonts w:hAnsi="Calibri"/>
          <w:color w:val="000000" w:themeColor="text1"/>
          <w:kern w:val="24"/>
          <w:sz w:val="32"/>
          <w:szCs w:val="32"/>
        </w:rPr>
        <w:t>CPPs at year end</w:t>
      </w:r>
    </w:p>
    <w:p w14:paraId="7D23311C" w14:textId="77777777" w:rsidR="003C41A1" w:rsidRPr="00E66E8E" w:rsidRDefault="003C41A1" w:rsidP="003C41A1">
      <w:pPr>
        <w:spacing w:after="0" w:line="240" w:lineRule="auto"/>
        <w:jc w:val="center"/>
        <w:rPr>
          <w:rFonts w:cs="Arial"/>
          <w:noProof/>
          <w:color w:val="202124"/>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417"/>
        <w:gridCol w:w="1276"/>
        <w:gridCol w:w="1276"/>
        <w:gridCol w:w="1189"/>
      </w:tblGrid>
      <w:tr w:rsidR="003C41A1" w:rsidRPr="006B5E99" w14:paraId="181FC0E5" w14:textId="77777777" w:rsidTr="00572BB4">
        <w:trPr>
          <w:trHeight w:val="300"/>
          <w:jc w:val="center"/>
        </w:trPr>
        <w:tc>
          <w:tcPr>
            <w:tcW w:w="1555" w:type="dxa"/>
            <w:noWrap/>
            <w:tcMar>
              <w:top w:w="0" w:type="dxa"/>
              <w:left w:w="108" w:type="dxa"/>
              <w:bottom w:w="0" w:type="dxa"/>
              <w:right w:w="108" w:type="dxa"/>
            </w:tcMar>
            <w:hideMark/>
          </w:tcPr>
          <w:p w14:paraId="4A1FF40F"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Year</w:t>
            </w:r>
          </w:p>
          <w:p w14:paraId="46E2CB13"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c>
          <w:tcPr>
            <w:tcW w:w="1417" w:type="dxa"/>
          </w:tcPr>
          <w:p w14:paraId="059579C3"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2018-19</w:t>
            </w:r>
          </w:p>
        </w:tc>
        <w:tc>
          <w:tcPr>
            <w:tcW w:w="1276" w:type="dxa"/>
            <w:noWrap/>
            <w:tcMar>
              <w:top w:w="0" w:type="dxa"/>
              <w:left w:w="108" w:type="dxa"/>
              <w:bottom w:w="0" w:type="dxa"/>
              <w:right w:w="108" w:type="dxa"/>
            </w:tcMar>
          </w:tcPr>
          <w:p w14:paraId="526CE9D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2019-20</w:t>
            </w:r>
          </w:p>
          <w:p w14:paraId="3754635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c>
          <w:tcPr>
            <w:tcW w:w="1276" w:type="dxa"/>
            <w:noWrap/>
            <w:tcMar>
              <w:top w:w="0" w:type="dxa"/>
              <w:left w:w="108" w:type="dxa"/>
              <w:bottom w:w="0" w:type="dxa"/>
              <w:right w:w="108" w:type="dxa"/>
            </w:tcMar>
          </w:tcPr>
          <w:p w14:paraId="3B746A02"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2020-21</w:t>
            </w:r>
          </w:p>
        </w:tc>
        <w:tc>
          <w:tcPr>
            <w:tcW w:w="1189" w:type="dxa"/>
          </w:tcPr>
          <w:p w14:paraId="7C13A14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2021-22</w:t>
            </w:r>
          </w:p>
        </w:tc>
      </w:tr>
      <w:tr w:rsidR="003C41A1" w:rsidRPr="006B5E99" w14:paraId="64B81D74" w14:textId="77777777" w:rsidTr="00572BB4">
        <w:trPr>
          <w:trHeight w:val="300"/>
          <w:jc w:val="center"/>
        </w:trPr>
        <w:tc>
          <w:tcPr>
            <w:tcW w:w="1555" w:type="dxa"/>
            <w:noWrap/>
            <w:tcMar>
              <w:top w:w="0" w:type="dxa"/>
              <w:left w:w="108" w:type="dxa"/>
              <w:bottom w:w="0" w:type="dxa"/>
              <w:right w:w="108" w:type="dxa"/>
            </w:tcMar>
            <w:hideMark/>
          </w:tcPr>
          <w:p w14:paraId="1537D468"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MKC</w:t>
            </w:r>
          </w:p>
          <w:p w14:paraId="19DC4AA3"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p w14:paraId="3328132D"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c>
          <w:tcPr>
            <w:tcW w:w="1417" w:type="dxa"/>
          </w:tcPr>
          <w:p w14:paraId="23747586"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136</w:t>
            </w:r>
          </w:p>
        </w:tc>
        <w:tc>
          <w:tcPr>
            <w:tcW w:w="1276" w:type="dxa"/>
            <w:noWrap/>
            <w:tcMar>
              <w:top w:w="0" w:type="dxa"/>
              <w:left w:w="108" w:type="dxa"/>
              <w:bottom w:w="0" w:type="dxa"/>
              <w:right w:w="108" w:type="dxa"/>
            </w:tcMar>
          </w:tcPr>
          <w:p w14:paraId="45CD56C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131</w:t>
            </w:r>
          </w:p>
          <w:p w14:paraId="71877DAA"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c>
          <w:tcPr>
            <w:tcW w:w="1276" w:type="dxa"/>
            <w:noWrap/>
            <w:tcMar>
              <w:top w:w="0" w:type="dxa"/>
              <w:left w:w="108" w:type="dxa"/>
              <w:bottom w:w="0" w:type="dxa"/>
              <w:right w:w="108" w:type="dxa"/>
            </w:tcMar>
          </w:tcPr>
          <w:p w14:paraId="75ECCD61"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185</w:t>
            </w:r>
          </w:p>
        </w:tc>
        <w:tc>
          <w:tcPr>
            <w:tcW w:w="1189" w:type="dxa"/>
          </w:tcPr>
          <w:p w14:paraId="188FEE5D"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181</w:t>
            </w:r>
          </w:p>
        </w:tc>
      </w:tr>
      <w:tr w:rsidR="003C41A1" w:rsidRPr="006B5E99" w14:paraId="06ACF898" w14:textId="77777777" w:rsidTr="00572BB4">
        <w:trPr>
          <w:trHeight w:val="300"/>
          <w:jc w:val="center"/>
        </w:trPr>
        <w:tc>
          <w:tcPr>
            <w:tcW w:w="1555" w:type="dxa"/>
            <w:noWrap/>
            <w:tcMar>
              <w:top w:w="0" w:type="dxa"/>
              <w:left w:w="108" w:type="dxa"/>
              <w:bottom w:w="0" w:type="dxa"/>
              <w:right w:w="108" w:type="dxa"/>
            </w:tcMar>
            <w:hideMark/>
          </w:tcPr>
          <w:p w14:paraId="064EE9C6"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MKC rate per 10k</w:t>
            </w:r>
          </w:p>
        </w:tc>
        <w:tc>
          <w:tcPr>
            <w:tcW w:w="1417" w:type="dxa"/>
          </w:tcPr>
          <w:p w14:paraId="1C6B035C"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19.9</w:t>
            </w:r>
          </w:p>
        </w:tc>
        <w:tc>
          <w:tcPr>
            <w:tcW w:w="1276" w:type="dxa"/>
            <w:noWrap/>
            <w:tcMar>
              <w:top w:w="0" w:type="dxa"/>
              <w:left w:w="108" w:type="dxa"/>
              <w:bottom w:w="0" w:type="dxa"/>
              <w:right w:w="108" w:type="dxa"/>
            </w:tcMar>
          </w:tcPr>
          <w:p w14:paraId="506C9D43"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19.2</w:t>
            </w:r>
          </w:p>
        </w:tc>
        <w:tc>
          <w:tcPr>
            <w:tcW w:w="1276" w:type="dxa"/>
            <w:noWrap/>
            <w:tcMar>
              <w:top w:w="0" w:type="dxa"/>
              <w:left w:w="108" w:type="dxa"/>
              <w:bottom w:w="0" w:type="dxa"/>
              <w:right w:w="108" w:type="dxa"/>
            </w:tcMar>
            <w:hideMark/>
          </w:tcPr>
          <w:p w14:paraId="71DA000F"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26.4</w:t>
            </w:r>
          </w:p>
        </w:tc>
        <w:tc>
          <w:tcPr>
            <w:tcW w:w="1189" w:type="dxa"/>
          </w:tcPr>
          <w:p w14:paraId="53412EC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27.3</w:t>
            </w:r>
          </w:p>
        </w:tc>
      </w:tr>
      <w:tr w:rsidR="003C41A1" w:rsidRPr="006B5E99" w14:paraId="4C9A5F8C" w14:textId="77777777" w:rsidTr="00572BB4">
        <w:trPr>
          <w:trHeight w:val="300"/>
          <w:jc w:val="center"/>
        </w:trPr>
        <w:tc>
          <w:tcPr>
            <w:tcW w:w="1555" w:type="dxa"/>
            <w:noWrap/>
            <w:tcMar>
              <w:top w:w="0" w:type="dxa"/>
              <w:left w:w="108" w:type="dxa"/>
              <w:bottom w:w="0" w:type="dxa"/>
              <w:right w:w="108" w:type="dxa"/>
            </w:tcMar>
            <w:hideMark/>
          </w:tcPr>
          <w:p w14:paraId="34C98057"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SE rate per 10K</w:t>
            </w:r>
          </w:p>
          <w:p w14:paraId="314D4806"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c>
          <w:tcPr>
            <w:tcW w:w="1417" w:type="dxa"/>
          </w:tcPr>
          <w:p w14:paraId="7CD0CD6A"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41.4</w:t>
            </w:r>
          </w:p>
        </w:tc>
        <w:tc>
          <w:tcPr>
            <w:tcW w:w="1276" w:type="dxa"/>
            <w:noWrap/>
            <w:tcMar>
              <w:top w:w="0" w:type="dxa"/>
              <w:left w:w="108" w:type="dxa"/>
              <w:bottom w:w="0" w:type="dxa"/>
              <w:right w:w="108" w:type="dxa"/>
            </w:tcMar>
          </w:tcPr>
          <w:p w14:paraId="71656765"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41.2</w:t>
            </w:r>
          </w:p>
        </w:tc>
        <w:tc>
          <w:tcPr>
            <w:tcW w:w="1276" w:type="dxa"/>
            <w:noWrap/>
            <w:tcMar>
              <w:top w:w="0" w:type="dxa"/>
              <w:left w:w="108" w:type="dxa"/>
              <w:bottom w:w="0" w:type="dxa"/>
              <w:right w:w="108" w:type="dxa"/>
            </w:tcMar>
            <w:hideMark/>
          </w:tcPr>
          <w:p w14:paraId="5A3C92B0"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40.2</w:t>
            </w:r>
          </w:p>
        </w:tc>
        <w:tc>
          <w:tcPr>
            <w:tcW w:w="1189" w:type="dxa"/>
            <w:shd w:val="clear" w:color="auto" w:fill="D9D9D9" w:themeFill="background1" w:themeFillShade="D9"/>
          </w:tcPr>
          <w:p w14:paraId="60D453A9"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r>
      <w:tr w:rsidR="003C41A1" w:rsidRPr="006B5E99" w14:paraId="2605C378" w14:textId="77777777" w:rsidTr="00572BB4">
        <w:trPr>
          <w:trHeight w:val="300"/>
          <w:jc w:val="center"/>
        </w:trPr>
        <w:tc>
          <w:tcPr>
            <w:tcW w:w="1555" w:type="dxa"/>
            <w:noWrap/>
            <w:tcMar>
              <w:top w:w="0" w:type="dxa"/>
              <w:left w:w="108" w:type="dxa"/>
              <w:bottom w:w="0" w:type="dxa"/>
              <w:right w:w="108" w:type="dxa"/>
            </w:tcMar>
            <w:hideMark/>
          </w:tcPr>
          <w:p w14:paraId="59505FF0"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Eng rate per 10k</w:t>
            </w:r>
          </w:p>
        </w:tc>
        <w:tc>
          <w:tcPr>
            <w:tcW w:w="1417" w:type="dxa"/>
          </w:tcPr>
          <w:p w14:paraId="7B7D7178"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43.7</w:t>
            </w:r>
          </w:p>
        </w:tc>
        <w:tc>
          <w:tcPr>
            <w:tcW w:w="1276" w:type="dxa"/>
            <w:noWrap/>
            <w:tcMar>
              <w:top w:w="0" w:type="dxa"/>
              <w:left w:w="108" w:type="dxa"/>
              <w:bottom w:w="0" w:type="dxa"/>
              <w:right w:w="108" w:type="dxa"/>
            </w:tcMar>
          </w:tcPr>
          <w:p w14:paraId="16770F65"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42.8</w:t>
            </w:r>
          </w:p>
        </w:tc>
        <w:tc>
          <w:tcPr>
            <w:tcW w:w="1276" w:type="dxa"/>
            <w:noWrap/>
            <w:tcMar>
              <w:top w:w="0" w:type="dxa"/>
              <w:left w:w="108" w:type="dxa"/>
              <w:bottom w:w="0" w:type="dxa"/>
              <w:right w:w="108" w:type="dxa"/>
            </w:tcMar>
            <w:hideMark/>
          </w:tcPr>
          <w:p w14:paraId="70964079"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41.4</w:t>
            </w:r>
          </w:p>
        </w:tc>
        <w:tc>
          <w:tcPr>
            <w:tcW w:w="1189" w:type="dxa"/>
            <w:shd w:val="clear" w:color="auto" w:fill="D9D9D9" w:themeFill="background1" w:themeFillShade="D9"/>
          </w:tcPr>
          <w:p w14:paraId="4F34574B" w14:textId="77777777" w:rsidR="003C41A1" w:rsidRPr="006B5E99" w:rsidRDefault="003C41A1" w:rsidP="00572BB4">
            <w:pPr>
              <w:autoSpaceDE w:val="0"/>
              <w:autoSpaceDN w:val="0"/>
              <w:adjustRightInd w:val="0"/>
              <w:spacing w:after="0" w:line="240" w:lineRule="auto"/>
              <w:rPr>
                <w:rFonts w:hAnsi="Calibri"/>
                <w:color w:val="000000" w:themeColor="text1"/>
                <w:kern w:val="24"/>
                <w:szCs w:val="24"/>
              </w:rPr>
            </w:pPr>
          </w:p>
        </w:tc>
      </w:tr>
    </w:tbl>
    <w:p w14:paraId="4628A9A9"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p>
    <w:p w14:paraId="210194C9" w14:textId="57202A25"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Milton Keynes consistently has lower CP figures as a percentage of the total population due to our family support approach </w:t>
      </w:r>
      <w:r w:rsidR="00095EA7" w:rsidRPr="006B5E99">
        <w:rPr>
          <w:rFonts w:hAnsi="Calibri"/>
          <w:color w:val="000000" w:themeColor="text1"/>
          <w:kern w:val="24"/>
          <w:szCs w:val="24"/>
        </w:rPr>
        <w:t>which</w:t>
      </w:r>
      <w:r w:rsidRPr="006B5E99">
        <w:rPr>
          <w:rFonts w:hAnsi="Calibri"/>
          <w:color w:val="000000" w:themeColor="text1"/>
          <w:kern w:val="24"/>
          <w:szCs w:val="24"/>
        </w:rPr>
        <w:t xml:space="preserve"> is fully embedded in our practice. This approach has been subject to independent scrutiny over the years and the strength of the family support has been recognised. </w:t>
      </w:r>
    </w:p>
    <w:p w14:paraId="54B59512"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p>
    <w:p w14:paraId="5524BA44"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Rate of ICPC’s and children who became subject to child protection plans in 2021-22 (N13)</w:t>
      </w:r>
    </w:p>
    <w:p w14:paraId="7D0A9DAA"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p>
    <w:p w14:paraId="1B4F703B" w14:textId="2BD026C2"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 xml:space="preserve">A total of 838 conferences were held in 2021-22. This is another significant rise from the previous year where there were 769 </w:t>
      </w:r>
      <w:r w:rsidR="00095EA7" w:rsidRPr="006B5E99">
        <w:rPr>
          <w:rFonts w:hAnsi="Calibri"/>
          <w:color w:val="000000" w:themeColor="text1"/>
          <w:kern w:val="24"/>
          <w:szCs w:val="24"/>
        </w:rPr>
        <w:t>conferences</w:t>
      </w:r>
      <w:r w:rsidRPr="006B5E99">
        <w:rPr>
          <w:rFonts w:hAnsi="Calibri"/>
          <w:color w:val="000000" w:themeColor="text1"/>
          <w:kern w:val="24"/>
          <w:szCs w:val="24"/>
        </w:rPr>
        <w:t>. A break down of the type of conference is as follows:</w:t>
      </w:r>
    </w:p>
    <w:p w14:paraId="51914972"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ICPC’s – 290</w:t>
      </w:r>
    </w:p>
    <w:p w14:paraId="4DBB753A"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RCPC’s – 505</w:t>
      </w:r>
    </w:p>
    <w:p w14:paraId="2B8D119B"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RCPC/ICCR – 35</w:t>
      </w:r>
    </w:p>
    <w:p w14:paraId="5DE9317C" w14:textId="77777777" w:rsidR="003C41A1" w:rsidRPr="006B5E99" w:rsidRDefault="003C41A1" w:rsidP="003C41A1">
      <w:pPr>
        <w:autoSpaceDE w:val="0"/>
        <w:autoSpaceDN w:val="0"/>
        <w:adjustRightInd w:val="0"/>
        <w:spacing w:after="0" w:line="240" w:lineRule="auto"/>
        <w:rPr>
          <w:rFonts w:hAnsi="Calibri"/>
          <w:color w:val="000000" w:themeColor="text1"/>
          <w:kern w:val="24"/>
          <w:szCs w:val="24"/>
        </w:rPr>
      </w:pPr>
      <w:r w:rsidRPr="006B5E99">
        <w:rPr>
          <w:rFonts w:hAnsi="Calibri"/>
          <w:color w:val="000000" w:themeColor="text1"/>
          <w:kern w:val="24"/>
          <w:szCs w:val="24"/>
        </w:rPr>
        <w:t>RI-CPC – 10 (24 Children)</w:t>
      </w:r>
    </w:p>
    <w:p w14:paraId="561C5B81" w14:textId="77777777" w:rsidR="003C41A1" w:rsidRPr="00E66E8E" w:rsidRDefault="003C41A1" w:rsidP="003C41A1">
      <w:pPr>
        <w:spacing w:after="0" w:line="240" w:lineRule="auto"/>
        <w:rPr>
          <w:rFonts w:cs="Arial"/>
          <w:noProof/>
          <w:color w:val="202124"/>
          <w:sz w:val="26"/>
          <w:szCs w:val="26"/>
          <w:shd w:val="clear" w:color="auto" w:fill="FFFFFF"/>
        </w:rPr>
      </w:pPr>
    </w:p>
    <w:p w14:paraId="18EF4E90" w14:textId="77777777" w:rsidR="003C41A1" w:rsidRPr="006B5E99" w:rsidRDefault="003C41A1" w:rsidP="003C41A1">
      <w:pPr>
        <w:spacing w:after="0" w:line="240" w:lineRule="auto"/>
        <w:jc w:val="center"/>
        <w:rPr>
          <w:rFonts w:hAnsi="Calibri"/>
          <w:color w:val="000000" w:themeColor="text1"/>
          <w:kern w:val="24"/>
          <w:sz w:val="32"/>
          <w:szCs w:val="32"/>
        </w:rPr>
      </w:pPr>
      <w:r w:rsidRPr="006B5E99">
        <w:rPr>
          <w:rFonts w:hAnsi="Calibri"/>
          <w:color w:val="000000" w:themeColor="text1"/>
          <w:kern w:val="24"/>
          <w:sz w:val="32"/>
          <w:szCs w:val="32"/>
        </w:rPr>
        <w:t>Category of initial Child Protection plans for each child</w:t>
      </w:r>
    </w:p>
    <w:p w14:paraId="2FA5B6F7" w14:textId="77777777" w:rsidR="003C41A1" w:rsidRPr="00E66E8E" w:rsidRDefault="003C41A1" w:rsidP="003C41A1">
      <w:pPr>
        <w:pStyle w:val="ListParagraph"/>
        <w:spacing w:after="0" w:line="240" w:lineRule="auto"/>
        <w:contextualSpacing w:val="0"/>
        <w:rPr>
          <w:rFonts w:cs="Arial"/>
          <w:noProof/>
          <w:color w:val="202124"/>
          <w:sz w:val="26"/>
          <w:szCs w:val="26"/>
          <w:shd w:val="clear" w:color="auto" w:fill="FFFFFF"/>
        </w:rPr>
      </w:pPr>
    </w:p>
    <w:tbl>
      <w:tblPr>
        <w:tblStyle w:val="TableGrid"/>
        <w:tblW w:w="3000" w:type="dxa"/>
        <w:jc w:val="center"/>
        <w:tblLook w:val="04A0" w:firstRow="1" w:lastRow="0" w:firstColumn="1" w:lastColumn="0" w:noHBand="0" w:noVBand="1"/>
      </w:tblPr>
      <w:tblGrid>
        <w:gridCol w:w="1860"/>
        <w:gridCol w:w="1140"/>
      </w:tblGrid>
      <w:tr w:rsidR="003C41A1" w:rsidRPr="00E66E8E" w14:paraId="015664AE" w14:textId="77777777" w:rsidTr="00572BB4">
        <w:trPr>
          <w:trHeight w:val="300"/>
          <w:jc w:val="center"/>
        </w:trPr>
        <w:tc>
          <w:tcPr>
            <w:tcW w:w="1860" w:type="dxa"/>
            <w:noWrap/>
            <w:hideMark/>
          </w:tcPr>
          <w:p w14:paraId="0368F49B"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Emotional</w:t>
            </w:r>
          </w:p>
        </w:tc>
        <w:tc>
          <w:tcPr>
            <w:tcW w:w="1140" w:type="dxa"/>
            <w:noWrap/>
            <w:hideMark/>
          </w:tcPr>
          <w:p w14:paraId="6C7C8DBC"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19%</w:t>
            </w:r>
          </w:p>
        </w:tc>
      </w:tr>
      <w:tr w:rsidR="003C41A1" w:rsidRPr="00E66E8E" w14:paraId="6061D055" w14:textId="77777777" w:rsidTr="00572BB4">
        <w:trPr>
          <w:trHeight w:val="300"/>
          <w:jc w:val="center"/>
        </w:trPr>
        <w:tc>
          <w:tcPr>
            <w:tcW w:w="1860" w:type="dxa"/>
            <w:noWrap/>
            <w:hideMark/>
          </w:tcPr>
          <w:p w14:paraId="6A611298"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Neglect</w:t>
            </w:r>
          </w:p>
        </w:tc>
        <w:tc>
          <w:tcPr>
            <w:tcW w:w="1140" w:type="dxa"/>
            <w:noWrap/>
            <w:hideMark/>
          </w:tcPr>
          <w:p w14:paraId="29133194"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78%</w:t>
            </w:r>
          </w:p>
        </w:tc>
      </w:tr>
      <w:tr w:rsidR="003C41A1" w:rsidRPr="00E66E8E" w14:paraId="69F29F11" w14:textId="77777777" w:rsidTr="00572BB4">
        <w:trPr>
          <w:trHeight w:val="300"/>
          <w:jc w:val="center"/>
        </w:trPr>
        <w:tc>
          <w:tcPr>
            <w:tcW w:w="1860" w:type="dxa"/>
            <w:noWrap/>
            <w:hideMark/>
          </w:tcPr>
          <w:p w14:paraId="2382375B"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Physical</w:t>
            </w:r>
          </w:p>
        </w:tc>
        <w:tc>
          <w:tcPr>
            <w:tcW w:w="1140" w:type="dxa"/>
            <w:noWrap/>
            <w:hideMark/>
          </w:tcPr>
          <w:p w14:paraId="559255CE"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3%</w:t>
            </w:r>
          </w:p>
        </w:tc>
      </w:tr>
      <w:tr w:rsidR="003C41A1" w:rsidRPr="00E66E8E" w14:paraId="2306F295" w14:textId="77777777" w:rsidTr="00572BB4">
        <w:trPr>
          <w:trHeight w:val="300"/>
          <w:jc w:val="center"/>
        </w:trPr>
        <w:tc>
          <w:tcPr>
            <w:tcW w:w="1860" w:type="dxa"/>
            <w:noWrap/>
            <w:hideMark/>
          </w:tcPr>
          <w:p w14:paraId="1BCD4A36"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Sexual</w:t>
            </w:r>
          </w:p>
        </w:tc>
        <w:tc>
          <w:tcPr>
            <w:tcW w:w="1140" w:type="dxa"/>
            <w:noWrap/>
            <w:hideMark/>
          </w:tcPr>
          <w:p w14:paraId="2DA4B6D6"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0%</w:t>
            </w:r>
          </w:p>
        </w:tc>
      </w:tr>
    </w:tbl>
    <w:p w14:paraId="5C94F281" w14:textId="77777777" w:rsidR="003C41A1" w:rsidRPr="00E66E8E" w:rsidRDefault="003C41A1" w:rsidP="003C41A1">
      <w:pPr>
        <w:spacing w:after="0" w:line="240" w:lineRule="auto"/>
        <w:rPr>
          <w:rFonts w:cs="Arial"/>
          <w:noProof/>
          <w:color w:val="202124"/>
          <w:sz w:val="26"/>
          <w:szCs w:val="26"/>
          <w:shd w:val="clear" w:color="auto" w:fill="FFFFFF"/>
        </w:rPr>
      </w:pPr>
      <w:r>
        <w:rPr>
          <w:rFonts w:cs="Arial"/>
          <w:noProof/>
          <w:color w:val="202124"/>
          <w:sz w:val="26"/>
          <w:szCs w:val="26"/>
          <w:shd w:val="clear" w:color="auto" w:fill="FFFFFF"/>
        </w:rPr>
        <w:t>The main category under which children were made subject to Child Protection Plans during 2021-22 was neglect which accounts for 78% of the total which is the same figure for the previous year. The figure for Emotional harm has dropped slightly from 22% to 19% and physical abuse stands at 3%.</w:t>
      </w:r>
    </w:p>
    <w:p w14:paraId="5928176D" w14:textId="77777777" w:rsidR="003C41A1" w:rsidRPr="00E66E8E" w:rsidRDefault="003C41A1" w:rsidP="003C41A1">
      <w:pPr>
        <w:spacing w:after="0" w:line="240" w:lineRule="auto"/>
        <w:rPr>
          <w:rFonts w:cs="Arial"/>
          <w:noProof/>
          <w:color w:val="202124"/>
          <w:sz w:val="26"/>
          <w:szCs w:val="26"/>
          <w:shd w:val="clear" w:color="auto" w:fill="FFFFFF"/>
        </w:rPr>
      </w:pPr>
    </w:p>
    <w:p w14:paraId="7217A542" w14:textId="77777777" w:rsidR="003C41A1" w:rsidRPr="006B5E99" w:rsidRDefault="003C41A1" w:rsidP="003C41A1">
      <w:pPr>
        <w:spacing w:after="0" w:line="240" w:lineRule="auto"/>
        <w:rPr>
          <w:rFonts w:hAnsi="Calibri"/>
          <w:color w:val="000000" w:themeColor="text1"/>
          <w:kern w:val="24"/>
          <w:sz w:val="32"/>
          <w:szCs w:val="32"/>
        </w:rPr>
      </w:pPr>
      <w:r w:rsidRPr="006B5E99">
        <w:rPr>
          <w:rFonts w:hAnsi="Calibri"/>
          <w:color w:val="000000" w:themeColor="text1"/>
          <w:kern w:val="24"/>
          <w:sz w:val="32"/>
          <w:szCs w:val="32"/>
        </w:rPr>
        <w:t>Initial Child Protection Conferences which were reviewed within timescales (N15)</w:t>
      </w:r>
    </w:p>
    <w:p w14:paraId="102BCE10" w14:textId="77777777" w:rsidR="003C41A1" w:rsidRPr="00E66E8E" w:rsidRDefault="003C41A1" w:rsidP="003C41A1">
      <w:pPr>
        <w:spacing w:after="0" w:line="240" w:lineRule="auto"/>
        <w:rPr>
          <w:rFonts w:cs="Arial"/>
          <w:noProof/>
          <w:color w:val="202124"/>
          <w:sz w:val="26"/>
          <w:szCs w:val="26"/>
          <w:shd w:val="clear" w:color="auto" w:fill="FFFFFF"/>
        </w:rPr>
      </w:pPr>
    </w:p>
    <w:p w14:paraId="7B8D03AA" w14:textId="77777777" w:rsidR="003C41A1" w:rsidRDefault="003C41A1" w:rsidP="003C41A1">
      <w:pPr>
        <w:spacing w:after="0" w:line="240" w:lineRule="auto"/>
        <w:rPr>
          <w:rFonts w:cs="Arial"/>
          <w:noProof/>
          <w:color w:val="202124"/>
          <w:sz w:val="26"/>
          <w:szCs w:val="26"/>
          <w:shd w:val="clear" w:color="auto" w:fill="FFFFFF"/>
        </w:rPr>
      </w:pPr>
      <w:r w:rsidRPr="005E6B8F">
        <w:rPr>
          <w:rFonts w:cs="Arial"/>
          <w:noProof/>
          <w:color w:val="202124"/>
          <w:sz w:val="26"/>
          <w:szCs w:val="26"/>
          <w:shd w:val="clear" w:color="auto" w:fill="FFFFFF"/>
        </w:rPr>
        <w:t xml:space="preserve">During 2021-22, 77.2% of Initial Child Protection Conferences were held within 15 days of the S.47 being triggered. </w:t>
      </w:r>
    </w:p>
    <w:p w14:paraId="6BD29860" w14:textId="77777777" w:rsidR="003C41A1" w:rsidRDefault="003C41A1" w:rsidP="003C41A1">
      <w:pPr>
        <w:spacing w:after="0" w:line="240" w:lineRule="auto"/>
        <w:rPr>
          <w:rFonts w:cs="Arial"/>
          <w:noProof/>
          <w:color w:val="202124"/>
          <w:sz w:val="26"/>
          <w:szCs w:val="26"/>
          <w:shd w:val="clear" w:color="auto" w:fill="FFFFFF"/>
        </w:rPr>
      </w:pPr>
    </w:p>
    <w:p w14:paraId="092C9264" w14:textId="77777777" w:rsidR="003C41A1" w:rsidRDefault="003C41A1" w:rsidP="003C41A1">
      <w:pPr>
        <w:spacing w:after="0" w:line="240" w:lineRule="auto"/>
        <w:rPr>
          <w:rFonts w:cs="Arial"/>
          <w:noProof/>
          <w:color w:val="202124"/>
          <w:sz w:val="26"/>
          <w:szCs w:val="26"/>
          <w:shd w:val="clear" w:color="auto" w:fill="FFFFFF"/>
        </w:rPr>
      </w:pPr>
      <w:r>
        <w:rPr>
          <w:rFonts w:cs="Arial"/>
          <w:noProof/>
          <w:color w:val="202124"/>
          <w:sz w:val="26"/>
          <w:szCs w:val="26"/>
          <w:shd w:val="clear" w:color="auto" w:fill="FFFFFF"/>
        </w:rPr>
        <w:t xml:space="preserve">This is a reduction from the previous year and reflects a number of issues. The first is the sheer volume of meetings to be accommodated. This has an impact on the physical space as well as the ability to allocate to a chair and a note taker. There have, on occasion, been issues with quoracy and instances where families have had commitments which needed to be accomodated. </w:t>
      </w:r>
    </w:p>
    <w:p w14:paraId="0DF8AF04" w14:textId="77777777" w:rsidR="003C41A1" w:rsidRDefault="003C41A1" w:rsidP="003C41A1">
      <w:pPr>
        <w:spacing w:after="0" w:line="240" w:lineRule="auto"/>
        <w:rPr>
          <w:rFonts w:cs="Arial"/>
          <w:noProof/>
          <w:color w:val="202124"/>
          <w:sz w:val="26"/>
          <w:szCs w:val="26"/>
          <w:shd w:val="clear" w:color="auto" w:fill="FFFFFF"/>
        </w:rPr>
      </w:pPr>
    </w:p>
    <w:p w14:paraId="185EF822" w14:textId="77777777" w:rsidR="003C41A1" w:rsidRDefault="003C41A1" w:rsidP="003C41A1">
      <w:pPr>
        <w:spacing w:after="0" w:line="240" w:lineRule="auto"/>
        <w:rPr>
          <w:rFonts w:cs="Arial"/>
          <w:noProof/>
          <w:color w:val="202124"/>
          <w:sz w:val="26"/>
          <w:szCs w:val="26"/>
          <w:shd w:val="clear" w:color="auto" w:fill="FFFFFF"/>
        </w:rPr>
      </w:pPr>
      <w:r>
        <w:rPr>
          <w:rFonts w:cs="Arial"/>
          <w:noProof/>
          <w:color w:val="202124"/>
          <w:sz w:val="26"/>
          <w:szCs w:val="26"/>
          <w:shd w:val="clear" w:color="auto" w:fill="FFFFFF"/>
        </w:rPr>
        <w:t xml:space="preserve">A record is kept where conferences have been held out of timescale and this has been incorporated in performance management reports so that a narrative can be understood around the data. </w:t>
      </w:r>
    </w:p>
    <w:p w14:paraId="0E61F55D" w14:textId="77777777" w:rsidR="003C41A1" w:rsidRPr="00E66E8E" w:rsidRDefault="003C41A1" w:rsidP="003C41A1">
      <w:pPr>
        <w:spacing w:after="0" w:line="240" w:lineRule="auto"/>
        <w:rPr>
          <w:rFonts w:cs="Arial"/>
          <w:noProof/>
          <w:color w:val="202124"/>
          <w:sz w:val="26"/>
          <w:szCs w:val="26"/>
          <w:shd w:val="clear" w:color="auto" w:fill="FFFFFF"/>
        </w:rPr>
      </w:pPr>
    </w:p>
    <w:p w14:paraId="5F0EAF6C" w14:textId="77777777" w:rsidR="003C41A1" w:rsidRPr="006B5E99" w:rsidRDefault="003C41A1" w:rsidP="003C41A1">
      <w:pPr>
        <w:spacing w:after="0" w:line="240" w:lineRule="auto"/>
        <w:jc w:val="center"/>
        <w:rPr>
          <w:rFonts w:hAnsi="Calibri"/>
          <w:color w:val="000000" w:themeColor="text1"/>
          <w:kern w:val="24"/>
          <w:sz w:val="32"/>
          <w:szCs w:val="32"/>
        </w:rPr>
      </w:pPr>
      <w:r w:rsidRPr="006B5E99">
        <w:rPr>
          <w:rFonts w:hAnsi="Calibri"/>
          <w:color w:val="000000" w:themeColor="text1"/>
          <w:kern w:val="24"/>
          <w:sz w:val="32"/>
          <w:szCs w:val="32"/>
        </w:rPr>
        <w:t>Outcomes of CP Conferences</w:t>
      </w:r>
    </w:p>
    <w:p w14:paraId="516CBCBE" w14:textId="77777777" w:rsidR="003C41A1" w:rsidRPr="005502CD" w:rsidRDefault="003C41A1" w:rsidP="003C41A1">
      <w:pPr>
        <w:spacing w:after="0" w:line="240" w:lineRule="auto"/>
        <w:rPr>
          <w:rFonts w:hAnsi="Calibri"/>
          <w:b/>
          <w:bCs/>
          <w:color w:val="599F46"/>
          <w:kern w:val="24"/>
          <w:sz w:val="26"/>
          <w:szCs w:val="26"/>
        </w:rPr>
      </w:pPr>
    </w:p>
    <w:tbl>
      <w:tblPr>
        <w:tblStyle w:val="TableGrid"/>
        <w:tblW w:w="0" w:type="auto"/>
        <w:jc w:val="center"/>
        <w:tblLook w:val="04A0" w:firstRow="1" w:lastRow="0" w:firstColumn="1" w:lastColumn="0" w:noHBand="0" w:noVBand="1"/>
      </w:tblPr>
      <w:tblGrid>
        <w:gridCol w:w="3261"/>
        <w:gridCol w:w="1962"/>
      </w:tblGrid>
      <w:tr w:rsidR="003C41A1" w:rsidRPr="00E66E8E" w14:paraId="6CDCB860" w14:textId="77777777" w:rsidTr="00572BB4">
        <w:trPr>
          <w:jc w:val="center"/>
        </w:trPr>
        <w:tc>
          <w:tcPr>
            <w:tcW w:w="3261" w:type="dxa"/>
          </w:tcPr>
          <w:p w14:paraId="53919E30"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Outcome</w:t>
            </w:r>
          </w:p>
        </w:tc>
        <w:tc>
          <w:tcPr>
            <w:tcW w:w="1962" w:type="dxa"/>
          </w:tcPr>
          <w:p w14:paraId="146E7720"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Percentage</w:t>
            </w:r>
          </w:p>
        </w:tc>
      </w:tr>
      <w:tr w:rsidR="003C41A1" w:rsidRPr="00E66E8E" w14:paraId="3776D951" w14:textId="77777777" w:rsidTr="00572BB4">
        <w:trPr>
          <w:jc w:val="center"/>
        </w:trPr>
        <w:tc>
          <w:tcPr>
            <w:tcW w:w="3261" w:type="dxa"/>
          </w:tcPr>
          <w:p w14:paraId="6A9A2C17"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CPP transferred to another Local Authority</w:t>
            </w:r>
          </w:p>
        </w:tc>
        <w:tc>
          <w:tcPr>
            <w:tcW w:w="1962" w:type="dxa"/>
          </w:tcPr>
          <w:p w14:paraId="379A59E1" w14:textId="77777777" w:rsidR="003C41A1" w:rsidRPr="00E66E8E" w:rsidRDefault="003C41A1" w:rsidP="00572BB4">
            <w:pPr>
              <w:rPr>
                <w:rFonts w:cs="Arial"/>
                <w:noProof/>
                <w:color w:val="202124"/>
                <w:sz w:val="26"/>
                <w:szCs w:val="26"/>
                <w:shd w:val="clear" w:color="auto" w:fill="FFFFFF"/>
              </w:rPr>
            </w:pPr>
            <w:r>
              <w:rPr>
                <w:rFonts w:cs="Arial"/>
                <w:noProof/>
                <w:color w:val="202124"/>
                <w:sz w:val="26"/>
                <w:szCs w:val="26"/>
                <w:shd w:val="clear" w:color="auto" w:fill="FFFFFF"/>
              </w:rPr>
              <w:t>0</w:t>
            </w:r>
            <w:r w:rsidRPr="00E66E8E">
              <w:rPr>
                <w:rFonts w:cs="Arial"/>
                <w:noProof/>
                <w:color w:val="202124"/>
                <w:sz w:val="26"/>
                <w:szCs w:val="26"/>
                <w:shd w:val="clear" w:color="auto" w:fill="FFFFFF"/>
              </w:rPr>
              <w:t>%</w:t>
            </w:r>
          </w:p>
        </w:tc>
      </w:tr>
      <w:tr w:rsidR="003C41A1" w:rsidRPr="00E66E8E" w14:paraId="03DBE89B" w14:textId="77777777" w:rsidTr="00572BB4">
        <w:trPr>
          <w:jc w:val="center"/>
        </w:trPr>
        <w:tc>
          <w:tcPr>
            <w:tcW w:w="3261" w:type="dxa"/>
          </w:tcPr>
          <w:p w14:paraId="657BC454"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CPP to CIN</w:t>
            </w:r>
          </w:p>
        </w:tc>
        <w:tc>
          <w:tcPr>
            <w:tcW w:w="1962" w:type="dxa"/>
          </w:tcPr>
          <w:p w14:paraId="5827A46E" w14:textId="77777777" w:rsidR="003C41A1" w:rsidRPr="00E66E8E" w:rsidRDefault="003C41A1" w:rsidP="00572BB4">
            <w:pPr>
              <w:rPr>
                <w:rFonts w:cs="Arial"/>
                <w:noProof/>
                <w:color w:val="202124"/>
                <w:sz w:val="26"/>
                <w:szCs w:val="26"/>
                <w:shd w:val="clear" w:color="auto" w:fill="FFFFFF"/>
              </w:rPr>
            </w:pPr>
            <w:r>
              <w:rPr>
                <w:rFonts w:cs="Arial"/>
                <w:noProof/>
                <w:color w:val="202124"/>
                <w:sz w:val="26"/>
                <w:szCs w:val="26"/>
                <w:shd w:val="clear" w:color="auto" w:fill="FFFFFF"/>
              </w:rPr>
              <w:t>69</w:t>
            </w:r>
            <w:r w:rsidRPr="00E66E8E">
              <w:rPr>
                <w:rFonts w:cs="Arial"/>
                <w:noProof/>
                <w:color w:val="202124"/>
                <w:sz w:val="26"/>
                <w:szCs w:val="26"/>
                <w:shd w:val="clear" w:color="auto" w:fill="FFFFFF"/>
              </w:rPr>
              <w:t>%</w:t>
            </w:r>
          </w:p>
        </w:tc>
      </w:tr>
      <w:tr w:rsidR="003C41A1" w:rsidRPr="00E66E8E" w14:paraId="5352F15C" w14:textId="77777777" w:rsidTr="00572BB4">
        <w:trPr>
          <w:jc w:val="center"/>
        </w:trPr>
        <w:tc>
          <w:tcPr>
            <w:tcW w:w="3261" w:type="dxa"/>
          </w:tcPr>
          <w:p w14:paraId="26773137"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CPP to CLA</w:t>
            </w:r>
          </w:p>
        </w:tc>
        <w:tc>
          <w:tcPr>
            <w:tcW w:w="1962" w:type="dxa"/>
          </w:tcPr>
          <w:p w14:paraId="45A7D995" w14:textId="77777777" w:rsidR="003C41A1" w:rsidRPr="00E66E8E" w:rsidRDefault="003C41A1" w:rsidP="00572BB4">
            <w:pPr>
              <w:rPr>
                <w:rFonts w:cs="Arial"/>
                <w:noProof/>
                <w:color w:val="202124"/>
                <w:sz w:val="26"/>
                <w:szCs w:val="26"/>
                <w:shd w:val="clear" w:color="auto" w:fill="FFFFFF"/>
              </w:rPr>
            </w:pPr>
            <w:r>
              <w:rPr>
                <w:rFonts w:cs="Arial"/>
                <w:noProof/>
                <w:color w:val="202124"/>
                <w:sz w:val="26"/>
                <w:szCs w:val="26"/>
                <w:shd w:val="clear" w:color="auto" w:fill="FFFFFF"/>
              </w:rPr>
              <w:t>31</w:t>
            </w:r>
            <w:r w:rsidRPr="00E66E8E">
              <w:rPr>
                <w:rFonts w:cs="Arial"/>
                <w:noProof/>
                <w:color w:val="202124"/>
                <w:sz w:val="26"/>
                <w:szCs w:val="26"/>
                <w:shd w:val="clear" w:color="auto" w:fill="FFFFFF"/>
              </w:rPr>
              <w:t>%</w:t>
            </w:r>
          </w:p>
        </w:tc>
      </w:tr>
    </w:tbl>
    <w:p w14:paraId="30023429" w14:textId="77777777" w:rsidR="003C41A1" w:rsidRDefault="003C41A1" w:rsidP="003C41A1">
      <w:pPr>
        <w:rPr>
          <w:rFonts w:cs="Arial"/>
          <w:noProof/>
          <w:color w:val="202124"/>
          <w:sz w:val="26"/>
          <w:szCs w:val="26"/>
          <w:shd w:val="clear" w:color="auto" w:fill="FFFFFF"/>
        </w:rPr>
      </w:pPr>
    </w:p>
    <w:p w14:paraId="5F97C549" w14:textId="77777777" w:rsidR="003C41A1" w:rsidRDefault="003C41A1" w:rsidP="003C41A1">
      <w:pPr>
        <w:rPr>
          <w:rFonts w:cs="Arial"/>
          <w:noProof/>
          <w:color w:val="202124"/>
          <w:sz w:val="26"/>
          <w:szCs w:val="26"/>
          <w:shd w:val="clear" w:color="auto" w:fill="FFFFFF"/>
        </w:rPr>
      </w:pPr>
      <w:r>
        <w:rPr>
          <w:rFonts w:cs="Arial"/>
          <w:noProof/>
          <w:color w:val="202124"/>
          <w:sz w:val="26"/>
          <w:szCs w:val="26"/>
          <w:shd w:val="clear" w:color="auto" w:fill="FFFFFF"/>
        </w:rPr>
        <w:t>It is positive that the majority of cases successfully step down to CIN following a period of time subject to a Child Protection Plan. This reflects the good and collaborative work which takes place in Milton Keynes.</w:t>
      </w:r>
    </w:p>
    <w:p w14:paraId="5C786ACB" w14:textId="77777777" w:rsidR="003C41A1" w:rsidRPr="006B5E99" w:rsidRDefault="003C41A1" w:rsidP="003C41A1">
      <w:pPr>
        <w:spacing w:after="0" w:line="240" w:lineRule="auto"/>
        <w:jc w:val="center"/>
        <w:rPr>
          <w:rFonts w:hAnsi="Calibri"/>
          <w:color w:val="000000" w:themeColor="text1"/>
          <w:kern w:val="24"/>
          <w:sz w:val="32"/>
          <w:szCs w:val="32"/>
        </w:rPr>
      </w:pPr>
      <w:r w:rsidRPr="006B5E99">
        <w:rPr>
          <w:rFonts w:hAnsi="Calibri"/>
          <w:color w:val="000000" w:themeColor="text1"/>
          <w:kern w:val="24"/>
          <w:sz w:val="32"/>
          <w:szCs w:val="32"/>
        </w:rPr>
        <w:t>% CPPs starting for a second or subsequent time (N18)</w:t>
      </w:r>
    </w:p>
    <w:p w14:paraId="12A5CF75" w14:textId="77777777" w:rsidR="003C41A1" w:rsidRPr="00E66E8E" w:rsidRDefault="003C41A1" w:rsidP="003C41A1">
      <w:pPr>
        <w:spacing w:after="0" w:line="240" w:lineRule="auto"/>
        <w:jc w:val="both"/>
        <w:rPr>
          <w:rFonts w:cs="Arial"/>
          <w:noProof/>
          <w:color w:val="202124"/>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4"/>
        <w:gridCol w:w="1087"/>
        <w:gridCol w:w="1102"/>
        <w:gridCol w:w="1134"/>
        <w:gridCol w:w="1102"/>
      </w:tblGrid>
      <w:tr w:rsidR="003C41A1" w:rsidRPr="00E66E8E" w14:paraId="553A7A0D" w14:textId="77777777" w:rsidTr="00572BB4">
        <w:trPr>
          <w:trHeight w:val="300"/>
          <w:jc w:val="center"/>
        </w:trPr>
        <w:tc>
          <w:tcPr>
            <w:tcW w:w="1114" w:type="dxa"/>
            <w:noWrap/>
            <w:tcMar>
              <w:top w:w="0" w:type="dxa"/>
              <w:left w:w="108" w:type="dxa"/>
              <w:bottom w:w="0" w:type="dxa"/>
              <w:right w:w="108" w:type="dxa"/>
            </w:tcMar>
            <w:hideMark/>
          </w:tcPr>
          <w:p w14:paraId="7E146995"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Year</w:t>
            </w:r>
          </w:p>
          <w:p w14:paraId="70236E2A" w14:textId="77777777" w:rsidR="003C41A1" w:rsidRDefault="003C41A1" w:rsidP="00572BB4">
            <w:pPr>
              <w:spacing w:after="0" w:line="240" w:lineRule="auto"/>
              <w:jc w:val="both"/>
              <w:rPr>
                <w:rFonts w:cs="Arial"/>
                <w:noProof/>
                <w:color w:val="202124"/>
                <w:sz w:val="26"/>
                <w:szCs w:val="26"/>
                <w:shd w:val="clear" w:color="auto" w:fill="FFFFFF"/>
              </w:rPr>
            </w:pPr>
          </w:p>
          <w:p w14:paraId="1A4636F9"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087" w:type="dxa"/>
            <w:noWrap/>
            <w:tcMar>
              <w:top w:w="0" w:type="dxa"/>
              <w:left w:w="108" w:type="dxa"/>
              <w:bottom w:w="0" w:type="dxa"/>
              <w:right w:w="108" w:type="dxa"/>
            </w:tcMar>
            <w:hideMark/>
          </w:tcPr>
          <w:p w14:paraId="12B7AFB9"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2018-19</w:t>
            </w:r>
          </w:p>
        </w:tc>
        <w:tc>
          <w:tcPr>
            <w:tcW w:w="1102" w:type="dxa"/>
          </w:tcPr>
          <w:p w14:paraId="2BDD07B4"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2019-20</w:t>
            </w:r>
          </w:p>
        </w:tc>
        <w:tc>
          <w:tcPr>
            <w:tcW w:w="1134" w:type="dxa"/>
            <w:noWrap/>
            <w:tcMar>
              <w:top w:w="0" w:type="dxa"/>
              <w:left w:w="108" w:type="dxa"/>
              <w:bottom w:w="0" w:type="dxa"/>
              <w:right w:w="108" w:type="dxa"/>
            </w:tcMar>
            <w:hideMark/>
          </w:tcPr>
          <w:p w14:paraId="597D4068"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2020-21</w:t>
            </w:r>
          </w:p>
        </w:tc>
        <w:tc>
          <w:tcPr>
            <w:tcW w:w="1102" w:type="dxa"/>
          </w:tcPr>
          <w:p w14:paraId="351CC294" w14:textId="77777777" w:rsidR="003C41A1"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2021-22</w:t>
            </w:r>
          </w:p>
          <w:p w14:paraId="2B6177B7" w14:textId="77777777" w:rsidR="003C41A1" w:rsidRDefault="003C41A1" w:rsidP="00572BB4">
            <w:pPr>
              <w:spacing w:after="0" w:line="240" w:lineRule="auto"/>
              <w:jc w:val="center"/>
              <w:rPr>
                <w:rFonts w:cs="Arial"/>
                <w:noProof/>
                <w:color w:val="202124"/>
                <w:sz w:val="26"/>
                <w:szCs w:val="26"/>
                <w:shd w:val="clear" w:color="auto" w:fill="FFFFFF"/>
              </w:rPr>
            </w:pPr>
          </w:p>
        </w:tc>
      </w:tr>
      <w:tr w:rsidR="003C41A1" w:rsidRPr="00E66E8E" w14:paraId="0D4236AF" w14:textId="77777777" w:rsidTr="00572BB4">
        <w:trPr>
          <w:trHeight w:val="300"/>
          <w:jc w:val="center"/>
        </w:trPr>
        <w:tc>
          <w:tcPr>
            <w:tcW w:w="1114" w:type="dxa"/>
            <w:noWrap/>
            <w:tcMar>
              <w:top w:w="0" w:type="dxa"/>
              <w:left w:w="108" w:type="dxa"/>
              <w:bottom w:w="0" w:type="dxa"/>
              <w:right w:w="108" w:type="dxa"/>
            </w:tcMar>
            <w:hideMark/>
          </w:tcPr>
          <w:p w14:paraId="3F692502"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MKC</w:t>
            </w:r>
          </w:p>
          <w:p w14:paraId="3FBD80DD" w14:textId="77777777" w:rsidR="003C41A1" w:rsidRDefault="003C41A1" w:rsidP="00572BB4">
            <w:pPr>
              <w:spacing w:after="0" w:line="240" w:lineRule="auto"/>
              <w:jc w:val="both"/>
              <w:rPr>
                <w:rFonts w:cs="Arial"/>
                <w:noProof/>
                <w:color w:val="202124"/>
                <w:sz w:val="26"/>
                <w:szCs w:val="26"/>
                <w:shd w:val="clear" w:color="auto" w:fill="FFFFFF"/>
              </w:rPr>
            </w:pPr>
          </w:p>
          <w:p w14:paraId="64056E88"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087" w:type="dxa"/>
            <w:noWrap/>
            <w:tcMar>
              <w:top w:w="0" w:type="dxa"/>
              <w:left w:w="108" w:type="dxa"/>
              <w:bottom w:w="0" w:type="dxa"/>
              <w:right w:w="108" w:type="dxa"/>
            </w:tcMar>
            <w:hideMark/>
          </w:tcPr>
          <w:p w14:paraId="3F6E45DA"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13.9%</w:t>
            </w:r>
          </w:p>
        </w:tc>
        <w:tc>
          <w:tcPr>
            <w:tcW w:w="1102" w:type="dxa"/>
          </w:tcPr>
          <w:p w14:paraId="047A8BFF"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11.2</w:t>
            </w:r>
            <w:r w:rsidRPr="00E66E8E">
              <w:rPr>
                <w:rFonts w:cs="Arial"/>
                <w:noProof/>
                <w:color w:val="202124"/>
                <w:sz w:val="26"/>
                <w:szCs w:val="26"/>
                <w:shd w:val="clear" w:color="auto" w:fill="FFFFFF"/>
              </w:rPr>
              <w:t>%</w:t>
            </w:r>
          </w:p>
        </w:tc>
        <w:tc>
          <w:tcPr>
            <w:tcW w:w="1134" w:type="dxa"/>
            <w:noWrap/>
            <w:tcMar>
              <w:top w:w="0" w:type="dxa"/>
              <w:left w:w="108" w:type="dxa"/>
              <w:bottom w:w="0" w:type="dxa"/>
              <w:right w:w="108" w:type="dxa"/>
            </w:tcMar>
            <w:hideMark/>
          </w:tcPr>
          <w:p w14:paraId="6C597A45"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13.6%</w:t>
            </w:r>
          </w:p>
        </w:tc>
        <w:tc>
          <w:tcPr>
            <w:tcW w:w="1102" w:type="dxa"/>
          </w:tcPr>
          <w:p w14:paraId="3FB49197" w14:textId="77777777" w:rsidR="003C41A1"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12%</w:t>
            </w:r>
          </w:p>
        </w:tc>
      </w:tr>
      <w:tr w:rsidR="003C41A1" w:rsidRPr="00E66E8E" w14:paraId="7CEB82E0" w14:textId="77777777" w:rsidTr="00572BB4">
        <w:trPr>
          <w:trHeight w:val="300"/>
          <w:jc w:val="center"/>
        </w:trPr>
        <w:tc>
          <w:tcPr>
            <w:tcW w:w="1114" w:type="dxa"/>
            <w:noWrap/>
            <w:tcMar>
              <w:top w:w="0" w:type="dxa"/>
              <w:left w:w="108" w:type="dxa"/>
              <w:bottom w:w="0" w:type="dxa"/>
              <w:right w:w="108" w:type="dxa"/>
            </w:tcMar>
            <w:hideMark/>
          </w:tcPr>
          <w:p w14:paraId="40388F79"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SE</w:t>
            </w:r>
          </w:p>
          <w:p w14:paraId="54E4DBC3" w14:textId="77777777" w:rsidR="003C41A1" w:rsidRDefault="003C41A1" w:rsidP="00572BB4">
            <w:pPr>
              <w:spacing w:after="0" w:line="240" w:lineRule="auto"/>
              <w:jc w:val="both"/>
              <w:rPr>
                <w:rFonts w:cs="Arial"/>
                <w:noProof/>
                <w:color w:val="202124"/>
                <w:sz w:val="26"/>
                <w:szCs w:val="26"/>
                <w:shd w:val="clear" w:color="auto" w:fill="FFFFFF"/>
              </w:rPr>
            </w:pPr>
          </w:p>
          <w:p w14:paraId="6ACFBAA1"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087" w:type="dxa"/>
            <w:noWrap/>
            <w:tcMar>
              <w:top w:w="0" w:type="dxa"/>
              <w:left w:w="108" w:type="dxa"/>
              <w:bottom w:w="0" w:type="dxa"/>
              <w:right w:w="108" w:type="dxa"/>
            </w:tcMar>
            <w:hideMark/>
          </w:tcPr>
          <w:p w14:paraId="3E3796D1"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21.1%</w:t>
            </w:r>
          </w:p>
        </w:tc>
        <w:tc>
          <w:tcPr>
            <w:tcW w:w="1102" w:type="dxa"/>
          </w:tcPr>
          <w:p w14:paraId="75A1B227"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23.4%</w:t>
            </w:r>
          </w:p>
        </w:tc>
        <w:tc>
          <w:tcPr>
            <w:tcW w:w="1134" w:type="dxa"/>
            <w:noWrap/>
            <w:tcMar>
              <w:top w:w="0" w:type="dxa"/>
              <w:left w:w="108" w:type="dxa"/>
              <w:bottom w:w="0" w:type="dxa"/>
              <w:right w:w="108" w:type="dxa"/>
            </w:tcMar>
            <w:hideMark/>
          </w:tcPr>
          <w:p w14:paraId="573C8764"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23.5%</w:t>
            </w:r>
          </w:p>
        </w:tc>
        <w:tc>
          <w:tcPr>
            <w:tcW w:w="1102" w:type="dxa"/>
            <w:shd w:val="clear" w:color="auto" w:fill="D9D9D9" w:themeFill="background1" w:themeFillShade="D9"/>
          </w:tcPr>
          <w:p w14:paraId="4822DFAB" w14:textId="77777777" w:rsidR="003C41A1" w:rsidRPr="00E66E8E" w:rsidRDefault="003C41A1" w:rsidP="00572BB4">
            <w:pPr>
              <w:spacing w:after="0" w:line="240" w:lineRule="auto"/>
              <w:jc w:val="center"/>
              <w:rPr>
                <w:rFonts w:cs="Arial"/>
                <w:noProof/>
                <w:color w:val="202124"/>
                <w:sz w:val="26"/>
                <w:szCs w:val="26"/>
                <w:shd w:val="clear" w:color="auto" w:fill="FFFFFF"/>
              </w:rPr>
            </w:pPr>
          </w:p>
        </w:tc>
      </w:tr>
      <w:tr w:rsidR="003C41A1" w:rsidRPr="00E66E8E" w14:paraId="2186421E" w14:textId="77777777" w:rsidTr="00572BB4">
        <w:trPr>
          <w:trHeight w:val="300"/>
          <w:jc w:val="center"/>
        </w:trPr>
        <w:tc>
          <w:tcPr>
            <w:tcW w:w="1114" w:type="dxa"/>
            <w:noWrap/>
            <w:tcMar>
              <w:top w:w="0" w:type="dxa"/>
              <w:left w:w="108" w:type="dxa"/>
              <w:bottom w:w="0" w:type="dxa"/>
              <w:right w:w="108" w:type="dxa"/>
            </w:tcMar>
            <w:hideMark/>
          </w:tcPr>
          <w:p w14:paraId="7208D0D2"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National</w:t>
            </w:r>
          </w:p>
          <w:p w14:paraId="573FF575" w14:textId="77777777" w:rsidR="003C41A1" w:rsidRDefault="003C41A1" w:rsidP="00572BB4">
            <w:pPr>
              <w:spacing w:after="0" w:line="240" w:lineRule="auto"/>
              <w:jc w:val="both"/>
              <w:rPr>
                <w:rFonts w:cs="Arial"/>
                <w:noProof/>
                <w:color w:val="202124"/>
                <w:sz w:val="26"/>
                <w:szCs w:val="26"/>
                <w:shd w:val="clear" w:color="auto" w:fill="FFFFFF"/>
              </w:rPr>
            </w:pPr>
          </w:p>
          <w:p w14:paraId="4BB87C5E"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087" w:type="dxa"/>
            <w:noWrap/>
            <w:tcMar>
              <w:top w:w="0" w:type="dxa"/>
              <w:left w:w="108" w:type="dxa"/>
              <w:bottom w:w="0" w:type="dxa"/>
              <w:right w:w="108" w:type="dxa"/>
            </w:tcMar>
            <w:hideMark/>
          </w:tcPr>
          <w:p w14:paraId="7F880D71"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20.8%</w:t>
            </w:r>
          </w:p>
        </w:tc>
        <w:tc>
          <w:tcPr>
            <w:tcW w:w="1102" w:type="dxa"/>
          </w:tcPr>
          <w:p w14:paraId="2178AC74"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21.9%</w:t>
            </w:r>
          </w:p>
        </w:tc>
        <w:tc>
          <w:tcPr>
            <w:tcW w:w="1134" w:type="dxa"/>
            <w:noWrap/>
            <w:tcMar>
              <w:top w:w="0" w:type="dxa"/>
              <w:left w:w="108" w:type="dxa"/>
              <w:bottom w:w="0" w:type="dxa"/>
              <w:right w:w="108" w:type="dxa"/>
            </w:tcMar>
            <w:hideMark/>
          </w:tcPr>
          <w:p w14:paraId="2D7C901F"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22.1%</w:t>
            </w:r>
          </w:p>
        </w:tc>
        <w:tc>
          <w:tcPr>
            <w:tcW w:w="1102" w:type="dxa"/>
            <w:shd w:val="clear" w:color="auto" w:fill="D9D9D9" w:themeFill="background1" w:themeFillShade="D9"/>
          </w:tcPr>
          <w:p w14:paraId="1EB1AEA9" w14:textId="77777777" w:rsidR="003C41A1" w:rsidRPr="00E66E8E" w:rsidRDefault="003C41A1" w:rsidP="00572BB4">
            <w:pPr>
              <w:spacing w:after="0" w:line="240" w:lineRule="auto"/>
              <w:jc w:val="center"/>
              <w:rPr>
                <w:rFonts w:cs="Arial"/>
                <w:noProof/>
                <w:color w:val="202124"/>
                <w:sz w:val="26"/>
                <w:szCs w:val="26"/>
                <w:shd w:val="clear" w:color="auto" w:fill="FFFFFF"/>
              </w:rPr>
            </w:pPr>
          </w:p>
        </w:tc>
      </w:tr>
    </w:tbl>
    <w:p w14:paraId="36A33FA2" w14:textId="77777777" w:rsidR="003C41A1" w:rsidRDefault="003C41A1" w:rsidP="003C41A1">
      <w:pPr>
        <w:rPr>
          <w:rFonts w:cs="Arial"/>
          <w:noProof/>
          <w:color w:val="202124"/>
          <w:sz w:val="26"/>
          <w:szCs w:val="26"/>
          <w:shd w:val="clear" w:color="auto" w:fill="FFFFFF"/>
        </w:rPr>
      </w:pPr>
    </w:p>
    <w:p w14:paraId="2FCCEF50" w14:textId="77777777" w:rsidR="003C41A1" w:rsidRDefault="003C41A1" w:rsidP="003C41A1">
      <w:pPr>
        <w:rPr>
          <w:rFonts w:cs="Arial"/>
          <w:noProof/>
          <w:color w:val="202124"/>
          <w:sz w:val="26"/>
          <w:szCs w:val="26"/>
          <w:shd w:val="clear" w:color="auto" w:fill="FFFFFF"/>
        </w:rPr>
      </w:pPr>
      <w:r>
        <w:rPr>
          <w:rFonts w:cs="Arial"/>
          <w:noProof/>
          <w:color w:val="202124"/>
          <w:sz w:val="26"/>
          <w:szCs w:val="26"/>
          <w:shd w:val="clear" w:color="auto" w:fill="FFFFFF"/>
        </w:rPr>
        <w:t xml:space="preserve">The number of children returning to a Child Protection Plan within 2 years remains very stable over time. </w:t>
      </w:r>
    </w:p>
    <w:p w14:paraId="64059226" w14:textId="77777777" w:rsidR="003C41A1" w:rsidRDefault="003C41A1" w:rsidP="003C41A1">
      <w:pPr>
        <w:jc w:val="center"/>
        <w:rPr>
          <w:rFonts w:hAnsi="Calibri"/>
          <w:color w:val="000000" w:themeColor="text1"/>
          <w:kern w:val="24"/>
          <w:sz w:val="32"/>
          <w:szCs w:val="32"/>
        </w:rPr>
      </w:pPr>
    </w:p>
    <w:p w14:paraId="44C49D96" w14:textId="77777777" w:rsidR="003C41A1" w:rsidRDefault="003C41A1" w:rsidP="003C41A1">
      <w:pPr>
        <w:jc w:val="center"/>
        <w:rPr>
          <w:rFonts w:hAnsi="Calibri"/>
          <w:color w:val="000000" w:themeColor="text1"/>
          <w:kern w:val="24"/>
          <w:sz w:val="32"/>
          <w:szCs w:val="32"/>
        </w:rPr>
      </w:pPr>
    </w:p>
    <w:p w14:paraId="45DE5EE8" w14:textId="77777777" w:rsidR="003C41A1" w:rsidRDefault="003C41A1" w:rsidP="003C41A1">
      <w:pPr>
        <w:jc w:val="center"/>
        <w:rPr>
          <w:rFonts w:hAnsi="Calibri"/>
          <w:color w:val="000000" w:themeColor="text1"/>
          <w:kern w:val="24"/>
          <w:sz w:val="32"/>
          <w:szCs w:val="32"/>
        </w:rPr>
      </w:pPr>
    </w:p>
    <w:p w14:paraId="7EEBB4D5" w14:textId="77777777" w:rsidR="003C41A1" w:rsidRDefault="003C41A1" w:rsidP="003C41A1">
      <w:pPr>
        <w:jc w:val="center"/>
        <w:rPr>
          <w:rFonts w:hAnsi="Calibri"/>
          <w:color w:val="000000" w:themeColor="text1"/>
          <w:kern w:val="24"/>
          <w:sz w:val="32"/>
          <w:szCs w:val="32"/>
        </w:rPr>
      </w:pPr>
    </w:p>
    <w:p w14:paraId="7AC31E94" w14:textId="77777777" w:rsidR="003C41A1" w:rsidRPr="006B5E99" w:rsidRDefault="003C41A1" w:rsidP="003C41A1">
      <w:pPr>
        <w:jc w:val="center"/>
        <w:rPr>
          <w:rFonts w:cs="Arial"/>
          <w:noProof/>
          <w:color w:val="202124"/>
          <w:sz w:val="26"/>
          <w:szCs w:val="26"/>
          <w:shd w:val="clear" w:color="auto" w:fill="FFFFFF"/>
        </w:rPr>
      </w:pPr>
      <w:r w:rsidRPr="006B5E99">
        <w:rPr>
          <w:rFonts w:hAnsi="Calibri"/>
          <w:color w:val="000000" w:themeColor="text1"/>
          <w:kern w:val="24"/>
          <w:sz w:val="32"/>
          <w:szCs w:val="32"/>
        </w:rPr>
        <w:lastRenderedPageBreak/>
        <w:t>Duration of Plans</w:t>
      </w:r>
    </w:p>
    <w:tbl>
      <w:tblPr>
        <w:tblStyle w:val="TableGrid"/>
        <w:tblW w:w="2673" w:type="dxa"/>
        <w:jc w:val="center"/>
        <w:tblLook w:val="04A0" w:firstRow="1" w:lastRow="0" w:firstColumn="1" w:lastColumn="0" w:noHBand="0" w:noVBand="1"/>
      </w:tblPr>
      <w:tblGrid>
        <w:gridCol w:w="1820"/>
        <w:gridCol w:w="863"/>
      </w:tblGrid>
      <w:tr w:rsidR="003C41A1" w:rsidRPr="00E66E8E" w14:paraId="3108CE60" w14:textId="77777777" w:rsidTr="00572BB4">
        <w:trPr>
          <w:trHeight w:val="300"/>
          <w:jc w:val="center"/>
        </w:trPr>
        <w:tc>
          <w:tcPr>
            <w:tcW w:w="1820" w:type="dxa"/>
            <w:noWrap/>
            <w:hideMark/>
          </w:tcPr>
          <w:p w14:paraId="2A791984"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Duration of CPP</w:t>
            </w:r>
          </w:p>
        </w:tc>
        <w:tc>
          <w:tcPr>
            <w:tcW w:w="853" w:type="dxa"/>
            <w:noWrap/>
            <w:hideMark/>
          </w:tcPr>
          <w:p w14:paraId="02D49946"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Count</w:t>
            </w:r>
          </w:p>
        </w:tc>
      </w:tr>
      <w:tr w:rsidR="003C41A1" w:rsidRPr="00E66E8E" w14:paraId="1C503858" w14:textId="77777777" w:rsidTr="00572BB4">
        <w:trPr>
          <w:trHeight w:val="300"/>
          <w:jc w:val="center"/>
        </w:trPr>
        <w:tc>
          <w:tcPr>
            <w:tcW w:w="1820" w:type="dxa"/>
            <w:noWrap/>
            <w:hideMark/>
          </w:tcPr>
          <w:p w14:paraId="39E1F858"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0-</w:t>
            </w:r>
            <w:r>
              <w:rPr>
                <w:rFonts w:cs="Arial"/>
                <w:noProof/>
                <w:color w:val="202124"/>
                <w:sz w:val="26"/>
                <w:szCs w:val="26"/>
                <w:shd w:val="clear" w:color="auto" w:fill="FFFFFF"/>
              </w:rPr>
              <w:t>3</w:t>
            </w:r>
            <w:r w:rsidRPr="00E66E8E">
              <w:rPr>
                <w:rFonts w:cs="Arial"/>
                <w:noProof/>
                <w:color w:val="202124"/>
                <w:sz w:val="26"/>
                <w:szCs w:val="26"/>
                <w:shd w:val="clear" w:color="auto" w:fill="FFFFFF"/>
              </w:rPr>
              <w:t xml:space="preserve"> Months</w:t>
            </w:r>
          </w:p>
        </w:tc>
        <w:tc>
          <w:tcPr>
            <w:tcW w:w="853" w:type="dxa"/>
            <w:noWrap/>
            <w:hideMark/>
          </w:tcPr>
          <w:p w14:paraId="2D010CAE"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23.0%</w:t>
            </w:r>
          </w:p>
        </w:tc>
      </w:tr>
      <w:tr w:rsidR="003C41A1" w:rsidRPr="00E66E8E" w14:paraId="0F0DF3A4" w14:textId="77777777" w:rsidTr="00572BB4">
        <w:trPr>
          <w:trHeight w:val="300"/>
          <w:jc w:val="center"/>
        </w:trPr>
        <w:tc>
          <w:tcPr>
            <w:tcW w:w="1820" w:type="dxa"/>
            <w:noWrap/>
            <w:hideMark/>
          </w:tcPr>
          <w:p w14:paraId="4C8E463C"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3-</w:t>
            </w:r>
            <w:r>
              <w:rPr>
                <w:rFonts w:cs="Arial"/>
                <w:noProof/>
                <w:color w:val="202124"/>
                <w:sz w:val="26"/>
                <w:szCs w:val="26"/>
                <w:shd w:val="clear" w:color="auto" w:fill="FFFFFF"/>
              </w:rPr>
              <w:t>6</w:t>
            </w:r>
            <w:r w:rsidRPr="00E66E8E">
              <w:rPr>
                <w:rFonts w:cs="Arial"/>
                <w:noProof/>
                <w:color w:val="202124"/>
                <w:sz w:val="26"/>
                <w:szCs w:val="26"/>
                <w:shd w:val="clear" w:color="auto" w:fill="FFFFFF"/>
              </w:rPr>
              <w:t xml:space="preserve"> Months</w:t>
            </w:r>
          </w:p>
        </w:tc>
        <w:tc>
          <w:tcPr>
            <w:tcW w:w="853" w:type="dxa"/>
            <w:noWrap/>
            <w:hideMark/>
          </w:tcPr>
          <w:p w14:paraId="09294377"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11.3%</w:t>
            </w:r>
          </w:p>
        </w:tc>
      </w:tr>
      <w:tr w:rsidR="003C41A1" w:rsidRPr="00E66E8E" w14:paraId="43B25812" w14:textId="77777777" w:rsidTr="00572BB4">
        <w:trPr>
          <w:trHeight w:val="300"/>
          <w:jc w:val="center"/>
        </w:trPr>
        <w:tc>
          <w:tcPr>
            <w:tcW w:w="1820" w:type="dxa"/>
            <w:noWrap/>
            <w:hideMark/>
          </w:tcPr>
          <w:p w14:paraId="25489207" w14:textId="77777777" w:rsidR="003C41A1" w:rsidRPr="00E66E8E" w:rsidRDefault="003C41A1" w:rsidP="00572BB4">
            <w:pPr>
              <w:rPr>
                <w:rFonts w:cs="Arial"/>
                <w:noProof/>
                <w:color w:val="202124"/>
                <w:sz w:val="26"/>
                <w:szCs w:val="26"/>
                <w:shd w:val="clear" w:color="auto" w:fill="FFFFFF"/>
              </w:rPr>
            </w:pPr>
            <w:r w:rsidRPr="00E66E8E">
              <w:rPr>
                <w:rFonts w:cs="Arial"/>
                <w:noProof/>
                <w:color w:val="202124"/>
                <w:sz w:val="26"/>
                <w:szCs w:val="26"/>
                <w:shd w:val="clear" w:color="auto" w:fill="FFFFFF"/>
              </w:rPr>
              <w:t>6-</w:t>
            </w:r>
            <w:r>
              <w:rPr>
                <w:rFonts w:cs="Arial"/>
                <w:noProof/>
                <w:color w:val="202124"/>
                <w:sz w:val="26"/>
                <w:szCs w:val="26"/>
                <w:shd w:val="clear" w:color="auto" w:fill="FFFFFF"/>
              </w:rPr>
              <w:t>12</w:t>
            </w:r>
            <w:r w:rsidRPr="00E66E8E">
              <w:rPr>
                <w:rFonts w:cs="Arial"/>
                <w:noProof/>
                <w:color w:val="202124"/>
                <w:sz w:val="26"/>
                <w:szCs w:val="26"/>
                <w:shd w:val="clear" w:color="auto" w:fill="FFFFFF"/>
              </w:rPr>
              <w:t xml:space="preserve"> Months</w:t>
            </w:r>
          </w:p>
        </w:tc>
        <w:tc>
          <w:tcPr>
            <w:tcW w:w="853" w:type="dxa"/>
            <w:noWrap/>
            <w:hideMark/>
          </w:tcPr>
          <w:p w14:paraId="6C16D9E7"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39.7%</w:t>
            </w:r>
          </w:p>
        </w:tc>
      </w:tr>
      <w:tr w:rsidR="003C41A1" w:rsidRPr="00E66E8E" w14:paraId="1F166DCA" w14:textId="77777777" w:rsidTr="00572BB4">
        <w:trPr>
          <w:trHeight w:val="300"/>
          <w:jc w:val="center"/>
        </w:trPr>
        <w:tc>
          <w:tcPr>
            <w:tcW w:w="1820" w:type="dxa"/>
            <w:noWrap/>
            <w:hideMark/>
          </w:tcPr>
          <w:p w14:paraId="2BE98CC6" w14:textId="77777777" w:rsidR="003C41A1" w:rsidRPr="00E66E8E" w:rsidRDefault="003C41A1" w:rsidP="00572BB4">
            <w:pPr>
              <w:rPr>
                <w:rFonts w:cs="Arial"/>
                <w:noProof/>
                <w:color w:val="202124"/>
                <w:sz w:val="26"/>
                <w:szCs w:val="26"/>
                <w:shd w:val="clear" w:color="auto" w:fill="FFFFFF"/>
              </w:rPr>
            </w:pPr>
            <w:r>
              <w:rPr>
                <w:rFonts w:cs="Arial"/>
                <w:noProof/>
                <w:color w:val="202124"/>
                <w:sz w:val="26"/>
                <w:szCs w:val="26"/>
                <w:shd w:val="clear" w:color="auto" w:fill="FFFFFF"/>
              </w:rPr>
              <w:t>Over 1 year</w:t>
            </w:r>
          </w:p>
        </w:tc>
        <w:tc>
          <w:tcPr>
            <w:tcW w:w="853" w:type="dxa"/>
            <w:noWrap/>
            <w:hideMark/>
          </w:tcPr>
          <w:p w14:paraId="39CA406D"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25.7%</w:t>
            </w:r>
          </w:p>
        </w:tc>
      </w:tr>
      <w:tr w:rsidR="003C41A1" w:rsidRPr="00E66E8E" w14:paraId="496E0454" w14:textId="77777777" w:rsidTr="00572BB4">
        <w:trPr>
          <w:trHeight w:val="300"/>
          <w:jc w:val="center"/>
        </w:trPr>
        <w:tc>
          <w:tcPr>
            <w:tcW w:w="1820" w:type="dxa"/>
            <w:noWrap/>
            <w:hideMark/>
          </w:tcPr>
          <w:p w14:paraId="3A7EB035" w14:textId="77777777" w:rsidR="003C41A1" w:rsidRPr="00E66E8E" w:rsidRDefault="003C41A1" w:rsidP="00572BB4">
            <w:pPr>
              <w:rPr>
                <w:rFonts w:cs="Arial"/>
                <w:noProof/>
                <w:color w:val="202124"/>
                <w:sz w:val="26"/>
                <w:szCs w:val="26"/>
                <w:shd w:val="clear" w:color="auto" w:fill="FFFFFF"/>
              </w:rPr>
            </w:pPr>
            <w:r>
              <w:rPr>
                <w:rFonts w:cs="Arial"/>
                <w:noProof/>
                <w:color w:val="202124"/>
                <w:sz w:val="26"/>
                <w:szCs w:val="26"/>
                <w:shd w:val="clear" w:color="auto" w:fill="FFFFFF"/>
              </w:rPr>
              <w:t>Over 2 years</w:t>
            </w:r>
          </w:p>
        </w:tc>
        <w:tc>
          <w:tcPr>
            <w:tcW w:w="853" w:type="dxa"/>
            <w:noWrap/>
            <w:hideMark/>
          </w:tcPr>
          <w:p w14:paraId="293AA238" w14:textId="77777777" w:rsidR="003C41A1" w:rsidRPr="00E66E8E" w:rsidRDefault="003C41A1" w:rsidP="00572BB4">
            <w:pPr>
              <w:jc w:val="right"/>
              <w:rPr>
                <w:rFonts w:cs="Arial"/>
                <w:noProof/>
                <w:color w:val="202124"/>
                <w:sz w:val="26"/>
                <w:szCs w:val="26"/>
                <w:shd w:val="clear" w:color="auto" w:fill="FFFFFF"/>
              </w:rPr>
            </w:pPr>
            <w:r>
              <w:rPr>
                <w:rFonts w:cs="Arial"/>
                <w:noProof/>
                <w:color w:val="202124"/>
                <w:sz w:val="26"/>
                <w:szCs w:val="26"/>
                <w:shd w:val="clear" w:color="auto" w:fill="FFFFFF"/>
              </w:rPr>
              <w:t>0.4%</w:t>
            </w:r>
          </w:p>
        </w:tc>
      </w:tr>
    </w:tbl>
    <w:p w14:paraId="1CA8D705" w14:textId="77777777" w:rsidR="003C41A1" w:rsidRDefault="003C41A1" w:rsidP="003C41A1">
      <w:pPr>
        <w:rPr>
          <w:rFonts w:hAnsi="Calibri"/>
          <w:kern w:val="24"/>
          <w:sz w:val="26"/>
          <w:szCs w:val="26"/>
        </w:rPr>
      </w:pPr>
    </w:p>
    <w:p w14:paraId="144D9FC1" w14:textId="77777777" w:rsidR="003C41A1" w:rsidRDefault="003C41A1" w:rsidP="003C41A1">
      <w:pPr>
        <w:rPr>
          <w:rFonts w:hAnsi="Calibri"/>
          <w:kern w:val="24"/>
          <w:sz w:val="26"/>
          <w:szCs w:val="26"/>
        </w:rPr>
      </w:pPr>
      <w:r>
        <w:rPr>
          <w:rFonts w:hAnsi="Calibri"/>
          <w:kern w:val="24"/>
          <w:sz w:val="26"/>
          <w:szCs w:val="26"/>
        </w:rPr>
        <w:t xml:space="preserve">A number of children remain subject to a Child Protection Plan for more than a year. It is important that this figure is scrutinised, so the reasons are fully understood and that any potential drift and delay is challenged. The Team Manager for Safeguarding meets monthly with the Head of Family Support Services to specifically discuss this cohort. </w:t>
      </w:r>
    </w:p>
    <w:p w14:paraId="00F666CA" w14:textId="77777777" w:rsidR="003C41A1" w:rsidRPr="00E030E9" w:rsidRDefault="003C41A1" w:rsidP="003C41A1">
      <w:pPr>
        <w:rPr>
          <w:rFonts w:hAnsi="Calibri"/>
          <w:kern w:val="24"/>
          <w:sz w:val="26"/>
          <w:szCs w:val="26"/>
        </w:rPr>
      </w:pPr>
      <w:r>
        <w:rPr>
          <w:rFonts w:hAnsi="Calibri"/>
          <w:kern w:val="24"/>
          <w:sz w:val="26"/>
          <w:szCs w:val="26"/>
        </w:rPr>
        <w:t>While there are instances in which families have responded slowly to intervention or where progress has been slowed by changes of Social Worker or other professional, there are also a number of instances in which proceedings have been instigated and children have been placed on Interim Supervision Orders. To date we have taken the view that the Child Protection Plan will remain in place until the end of proceedings. However there is an opportunity to discuss each case according to its individual circumstances over the year ahead.</w:t>
      </w:r>
    </w:p>
    <w:p w14:paraId="69FC7C12" w14:textId="77777777" w:rsidR="00A81821" w:rsidRDefault="00A81821" w:rsidP="003C41A1">
      <w:pPr>
        <w:rPr>
          <w:rFonts w:hAnsi="Calibri"/>
          <w:color w:val="000000" w:themeColor="text1"/>
          <w:kern w:val="24"/>
          <w:sz w:val="32"/>
          <w:szCs w:val="32"/>
        </w:rPr>
      </w:pPr>
    </w:p>
    <w:p w14:paraId="07D2054A" w14:textId="4C72C500" w:rsidR="003C41A1" w:rsidRPr="006B5E99" w:rsidRDefault="003C41A1" w:rsidP="003C41A1">
      <w:pPr>
        <w:rPr>
          <w:rFonts w:hAnsi="Calibri"/>
          <w:color w:val="000000" w:themeColor="text1"/>
          <w:kern w:val="24"/>
          <w:sz w:val="32"/>
          <w:szCs w:val="32"/>
        </w:rPr>
      </w:pPr>
      <w:r w:rsidRPr="006B5E99">
        <w:rPr>
          <w:rFonts w:hAnsi="Calibri"/>
          <w:color w:val="000000" w:themeColor="text1"/>
          <w:kern w:val="24"/>
          <w:sz w:val="32"/>
          <w:szCs w:val="32"/>
        </w:rPr>
        <w:t>Percentage of CPP’s lasting 2 years or more at 31 March 2021</w:t>
      </w:r>
    </w:p>
    <w:p w14:paraId="1F219A50" w14:textId="77777777" w:rsidR="003C41A1" w:rsidRPr="006B5E99" w:rsidRDefault="003C41A1" w:rsidP="003C41A1">
      <w:pPr>
        <w:jc w:val="center"/>
        <w:rPr>
          <w:rFonts w:hAnsi="Calibri"/>
          <w:color w:val="000000" w:themeColor="text1"/>
          <w:kern w:val="24"/>
          <w:sz w:val="32"/>
          <w:szCs w:val="32"/>
        </w:rPr>
      </w:pPr>
      <w:r w:rsidRPr="006B5E99">
        <w:rPr>
          <w:rFonts w:hAnsi="Calibri"/>
          <w:color w:val="000000" w:themeColor="text1"/>
          <w:kern w:val="24"/>
          <w:sz w:val="32"/>
          <w:szCs w:val="32"/>
        </w:rPr>
        <w:t>CPP ended in year where CPP lasted 2+ years</w:t>
      </w:r>
    </w:p>
    <w:p w14:paraId="6729B767" w14:textId="77777777" w:rsidR="003C41A1" w:rsidRPr="00E66E8E" w:rsidRDefault="003C41A1" w:rsidP="003C41A1">
      <w:pPr>
        <w:spacing w:after="0" w:line="240" w:lineRule="auto"/>
        <w:jc w:val="center"/>
        <w:rPr>
          <w:rFonts w:cs="Arial"/>
          <w:noProof/>
          <w:color w:val="202124"/>
          <w:sz w:val="26"/>
          <w:szCs w:val="26"/>
          <w:shd w:val="clear" w:color="auto" w:fill="FFFFFF"/>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134"/>
        <w:gridCol w:w="1134"/>
        <w:gridCol w:w="1134"/>
        <w:gridCol w:w="1088"/>
      </w:tblGrid>
      <w:tr w:rsidR="003C41A1" w:rsidRPr="00E66E8E" w14:paraId="2136530C" w14:textId="77777777" w:rsidTr="00572BB4">
        <w:trPr>
          <w:trHeight w:val="300"/>
        </w:trPr>
        <w:tc>
          <w:tcPr>
            <w:tcW w:w="1838" w:type="dxa"/>
            <w:shd w:val="clear" w:color="auto" w:fill="auto"/>
            <w:noWrap/>
            <w:tcMar>
              <w:top w:w="0" w:type="dxa"/>
              <w:left w:w="108" w:type="dxa"/>
              <w:bottom w:w="0" w:type="dxa"/>
              <w:right w:w="108" w:type="dxa"/>
            </w:tcMar>
            <w:hideMark/>
          </w:tcPr>
          <w:p w14:paraId="466DE5CA"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Year</w:t>
            </w:r>
          </w:p>
          <w:p w14:paraId="01153FD1" w14:textId="77777777" w:rsidR="003C41A1" w:rsidRDefault="003C41A1" w:rsidP="00572BB4">
            <w:pPr>
              <w:spacing w:after="0" w:line="240" w:lineRule="auto"/>
              <w:jc w:val="both"/>
              <w:rPr>
                <w:rFonts w:cs="Arial"/>
                <w:noProof/>
                <w:color w:val="202124"/>
                <w:sz w:val="26"/>
                <w:szCs w:val="26"/>
                <w:shd w:val="clear" w:color="auto" w:fill="FFFFFF"/>
              </w:rPr>
            </w:pPr>
          </w:p>
          <w:p w14:paraId="273DE8B4"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134" w:type="dxa"/>
            <w:shd w:val="clear" w:color="auto" w:fill="auto"/>
            <w:noWrap/>
            <w:tcMar>
              <w:top w:w="0" w:type="dxa"/>
              <w:left w:w="108" w:type="dxa"/>
              <w:bottom w:w="0" w:type="dxa"/>
              <w:right w:w="108" w:type="dxa"/>
            </w:tcMar>
            <w:hideMark/>
          </w:tcPr>
          <w:p w14:paraId="0D150894"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2018-19</w:t>
            </w:r>
          </w:p>
        </w:tc>
        <w:tc>
          <w:tcPr>
            <w:tcW w:w="1134" w:type="dxa"/>
            <w:shd w:val="clear" w:color="auto" w:fill="auto"/>
            <w:noWrap/>
            <w:tcMar>
              <w:top w:w="0" w:type="dxa"/>
              <w:left w:w="108" w:type="dxa"/>
              <w:bottom w:w="0" w:type="dxa"/>
              <w:right w:w="108" w:type="dxa"/>
            </w:tcMar>
            <w:hideMark/>
          </w:tcPr>
          <w:p w14:paraId="7AF6C3CE"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2019-20</w:t>
            </w:r>
          </w:p>
        </w:tc>
        <w:tc>
          <w:tcPr>
            <w:tcW w:w="1134" w:type="dxa"/>
          </w:tcPr>
          <w:p w14:paraId="67C2BA92"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2020-21</w:t>
            </w:r>
          </w:p>
        </w:tc>
        <w:tc>
          <w:tcPr>
            <w:tcW w:w="1088" w:type="dxa"/>
          </w:tcPr>
          <w:p w14:paraId="347C5785"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2021-22</w:t>
            </w:r>
          </w:p>
        </w:tc>
      </w:tr>
      <w:tr w:rsidR="003C41A1" w:rsidRPr="00E66E8E" w14:paraId="0FCBE20D" w14:textId="77777777" w:rsidTr="00572BB4">
        <w:trPr>
          <w:trHeight w:val="300"/>
        </w:trPr>
        <w:tc>
          <w:tcPr>
            <w:tcW w:w="1838" w:type="dxa"/>
            <w:shd w:val="clear" w:color="auto" w:fill="auto"/>
            <w:noWrap/>
            <w:tcMar>
              <w:top w:w="0" w:type="dxa"/>
              <w:left w:w="108" w:type="dxa"/>
              <w:bottom w:w="0" w:type="dxa"/>
              <w:right w:w="108" w:type="dxa"/>
            </w:tcMar>
            <w:hideMark/>
          </w:tcPr>
          <w:p w14:paraId="3C1CC302"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MKC</w:t>
            </w:r>
          </w:p>
          <w:p w14:paraId="367200CA" w14:textId="77777777" w:rsidR="003C41A1" w:rsidRDefault="003C41A1" w:rsidP="00572BB4">
            <w:pPr>
              <w:spacing w:after="0" w:line="240" w:lineRule="auto"/>
              <w:jc w:val="both"/>
              <w:rPr>
                <w:rFonts w:cs="Arial"/>
                <w:noProof/>
                <w:color w:val="202124"/>
                <w:sz w:val="26"/>
                <w:szCs w:val="26"/>
                <w:shd w:val="clear" w:color="auto" w:fill="FFFFFF"/>
              </w:rPr>
            </w:pPr>
          </w:p>
          <w:p w14:paraId="4E950FC9"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134" w:type="dxa"/>
            <w:shd w:val="clear" w:color="auto" w:fill="auto"/>
            <w:noWrap/>
            <w:tcMar>
              <w:top w:w="0" w:type="dxa"/>
              <w:left w:w="108" w:type="dxa"/>
              <w:bottom w:w="0" w:type="dxa"/>
              <w:right w:w="108" w:type="dxa"/>
            </w:tcMar>
            <w:hideMark/>
          </w:tcPr>
          <w:p w14:paraId="478B7A05"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0.0%</w:t>
            </w:r>
          </w:p>
        </w:tc>
        <w:tc>
          <w:tcPr>
            <w:tcW w:w="1134" w:type="dxa"/>
            <w:shd w:val="clear" w:color="auto" w:fill="auto"/>
            <w:noWrap/>
            <w:tcMar>
              <w:top w:w="0" w:type="dxa"/>
              <w:left w:w="108" w:type="dxa"/>
              <w:bottom w:w="0" w:type="dxa"/>
              <w:right w:w="108" w:type="dxa"/>
            </w:tcMar>
            <w:hideMark/>
          </w:tcPr>
          <w:p w14:paraId="4CD4F027"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2.1%</w:t>
            </w:r>
          </w:p>
        </w:tc>
        <w:tc>
          <w:tcPr>
            <w:tcW w:w="1134" w:type="dxa"/>
          </w:tcPr>
          <w:p w14:paraId="200DD5F2"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1%</w:t>
            </w:r>
          </w:p>
        </w:tc>
        <w:tc>
          <w:tcPr>
            <w:tcW w:w="1088" w:type="dxa"/>
          </w:tcPr>
          <w:p w14:paraId="4DD56D38"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0.4%</w:t>
            </w:r>
          </w:p>
        </w:tc>
      </w:tr>
      <w:tr w:rsidR="003C41A1" w:rsidRPr="00E66E8E" w14:paraId="27C1E9AB" w14:textId="77777777" w:rsidTr="00572BB4">
        <w:trPr>
          <w:trHeight w:val="300"/>
        </w:trPr>
        <w:tc>
          <w:tcPr>
            <w:tcW w:w="1838" w:type="dxa"/>
            <w:shd w:val="clear" w:color="auto" w:fill="auto"/>
            <w:noWrap/>
            <w:tcMar>
              <w:top w:w="0" w:type="dxa"/>
              <w:left w:w="108" w:type="dxa"/>
              <w:bottom w:w="0" w:type="dxa"/>
              <w:right w:w="108" w:type="dxa"/>
            </w:tcMar>
            <w:hideMark/>
          </w:tcPr>
          <w:p w14:paraId="1BABC4FF"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SE</w:t>
            </w:r>
          </w:p>
          <w:p w14:paraId="27B12DED" w14:textId="77777777" w:rsidR="003C41A1" w:rsidRDefault="003C41A1" w:rsidP="00572BB4">
            <w:pPr>
              <w:spacing w:after="0" w:line="240" w:lineRule="auto"/>
              <w:jc w:val="both"/>
              <w:rPr>
                <w:rFonts w:cs="Arial"/>
                <w:noProof/>
                <w:color w:val="202124"/>
                <w:sz w:val="26"/>
                <w:szCs w:val="26"/>
                <w:shd w:val="clear" w:color="auto" w:fill="FFFFFF"/>
              </w:rPr>
            </w:pPr>
          </w:p>
          <w:p w14:paraId="533B94EB"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134" w:type="dxa"/>
            <w:shd w:val="clear" w:color="auto" w:fill="auto"/>
            <w:noWrap/>
            <w:tcMar>
              <w:top w:w="0" w:type="dxa"/>
              <w:left w:w="108" w:type="dxa"/>
              <w:bottom w:w="0" w:type="dxa"/>
              <w:right w:w="108" w:type="dxa"/>
            </w:tcMar>
            <w:hideMark/>
          </w:tcPr>
          <w:p w14:paraId="2FCCE193"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4.7%</w:t>
            </w:r>
          </w:p>
        </w:tc>
        <w:tc>
          <w:tcPr>
            <w:tcW w:w="1134" w:type="dxa"/>
            <w:shd w:val="clear" w:color="auto" w:fill="auto"/>
            <w:noWrap/>
            <w:tcMar>
              <w:top w:w="0" w:type="dxa"/>
              <w:left w:w="108" w:type="dxa"/>
              <w:bottom w:w="0" w:type="dxa"/>
              <w:right w:w="108" w:type="dxa"/>
            </w:tcMar>
            <w:hideMark/>
          </w:tcPr>
          <w:p w14:paraId="61F694F3"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5.0%</w:t>
            </w:r>
          </w:p>
        </w:tc>
        <w:tc>
          <w:tcPr>
            <w:tcW w:w="1134" w:type="dxa"/>
          </w:tcPr>
          <w:p w14:paraId="4BBD123B"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4.2%</w:t>
            </w:r>
          </w:p>
        </w:tc>
        <w:tc>
          <w:tcPr>
            <w:tcW w:w="1088" w:type="dxa"/>
            <w:shd w:val="clear" w:color="auto" w:fill="D9D9D9" w:themeFill="background1" w:themeFillShade="D9"/>
          </w:tcPr>
          <w:p w14:paraId="2F71471D" w14:textId="77777777" w:rsidR="003C41A1" w:rsidRPr="00E66E8E" w:rsidRDefault="003C41A1" w:rsidP="00572BB4">
            <w:pPr>
              <w:spacing w:after="0" w:line="240" w:lineRule="auto"/>
              <w:jc w:val="center"/>
              <w:rPr>
                <w:rFonts w:cs="Arial"/>
                <w:noProof/>
                <w:color w:val="202124"/>
                <w:sz w:val="26"/>
                <w:szCs w:val="26"/>
                <w:shd w:val="clear" w:color="auto" w:fill="FFFFFF"/>
              </w:rPr>
            </w:pPr>
          </w:p>
        </w:tc>
      </w:tr>
      <w:tr w:rsidR="003C41A1" w:rsidRPr="00E66E8E" w14:paraId="4BC408F8" w14:textId="77777777" w:rsidTr="00572BB4">
        <w:trPr>
          <w:trHeight w:val="300"/>
        </w:trPr>
        <w:tc>
          <w:tcPr>
            <w:tcW w:w="1838" w:type="dxa"/>
            <w:shd w:val="clear" w:color="auto" w:fill="auto"/>
            <w:noWrap/>
            <w:tcMar>
              <w:top w:w="0" w:type="dxa"/>
              <w:left w:w="108" w:type="dxa"/>
              <w:bottom w:w="0" w:type="dxa"/>
              <w:right w:w="108" w:type="dxa"/>
            </w:tcMar>
            <w:hideMark/>
          </w:tcPr>
          <w:p w14:paraId="552E1F8F" w14:textId="77777777" w:rsidR="003C41A1"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National</w:t>
            </w:r>
          </w:p>
          <w:p w14:paraId="657D9401" w14:textId="77777777" w:rsidR="003C41A1" w:rsidRDefault="003C41A1" w:rsidP="00572BB4">
            <w:pPr>
              <w:spacing w:after="0" w:line="240" w:lineRule="auto"/>
              <w:jc w:val="both"/>
              <w:rPr>
                <w:rFonts w:cs="Arial"/>
                <w:noProof/>
                <w:color w:val="202124"/>
                <w:sz w:val="26"/>
                <w:szCs w:val="26"/>
                <w:shd w:val="clear" w:color="auto" w:fill="FFFFFF"/>
              </w:rPr>
            </w:pPr>
          </w:p>
          <w:p w14:paraId="1DA3C926" w14:textId="77777777" w:rsidR="003C41A1" w:rsidRPr="00E66E8E" w:rsidRDefault="003C41A1" w:rsidP="00572BB4">
            <w:pPr>
              <w:spacing w:after="0" w:line="240" w:lineRule="auto"/>
              <w:jc w:val="both"/>
              <w:rPr>
                <w:rFonts w:cs="Arial"/>
                <w:noProof/>
                <w:color w:val="202124"/>
                <w:sz w:val="26"/>
                <w:szCs w:val="26"/>
                <w:shd w:val="clear" w:color="auto" w:fill="FFFFFF"/>
              </w:rPr>
            </w:pPr>
          </w:p>
        </w:tc>
        <w:tc>
          <w:tcPr>
            <w:tcW w:w="1134" w:type="dxa"/>
            <w:shd w:val="clear" w:color="auto" w:fill="auto"/>
            <w:noWrap/>
            <w:tcMar>
              <w:top w:w="0" w:type="dxa"/>
              <w:left w:w="108" w:type="dxa"/>
              <w:bottom w:w="0" w:type="dxa"/>
              <w:right w:w="108" w:type="dxa"/>
            </w:tcMar>
            <w:hideMark/>
          </w:tcPr>
          <w:p w14:paraId="2F688807" w14:textId="77777777" w:rsidR="003C41A1" w:rsidRPr="00E66E8E" w:rsidRDefault="003C41A1" w:rsidP="00572BB4">
            <w:pPr>
              <w:spacing w:after="0" w:line="240" w:lineRule="auto"/>
              <w:jc w:val="center"/>
              <w:rPr>
                <w:rFonts w:cs="Arial"/>
                <w:noProof/>
                <w:color w:val="202124"/>
                <w:sz w:val="26"/>
                <w:szCs w:val="26"/>
                <w:shd w:val="clear" w:color="auto" w:fill="FFFFFF"/>
              </w:rPr>
            </w:pPr>
            <w:r w:rsidRPr="00E66E8E">
              <w:rPr>
                <w:rFonts w:cs="Arial"/>
                <w:noProof/>
                <w:color w:val="202124"/>
                <w:sz w:val="26"/>
                <w:szCs w:val="26"/>
                <w:shd w:val="clear" w:color="auto" w:fill="FFFFFF"/>
              </w:rPr>
              <w:t>3.3%</w:t>
            </w:r>
          </w:p>
        </w:tc>
        <w:tc>
          <w:tcPr>
            <w:tcW w:w="1134" w:type="dxa"/>
            <w:shd w:val="clear" w:color="auto" w:fill="auto"/>
            <w:noWrap/>
            <w:tcMar>
              <w:top w:w="0" w:type="dxa"/>
              <w:left w:w="108" w:type="dxa"/>
              <w:bottom w:w="0" w:type="dxa"/>
              <w:right w:w="108" w:type="dxa"/>
            </w:tcMar>
            <w:hideMark/>
          </w:tcPr>
          <w:p w14:paraId="58374A7C"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3.6%</w:t>
            </w:r>
          </w:p>
        </w:tc>
        <w:tc>
          <w:tcPr>
            <w:tcW w:w="1134" w:type="dxa"/>
          </w:tcPr>
          <w:p w14:paraId="5C315DFF" w14:textId="77777777" w:rsidR="003C41A1" w:rsidRPr="00E66E8E" w:rsidRDefault="003C41A1" w:rsidP="00572BB4">
            <w:pPr>
              <w:spacing w:after="0" w:line="240" w:lineRule="auto"/>
              <w:jc w:val="center"/>
              <w:rPr>
                <w:rFonts w:cs="Arial"/>
                <w:noProof/>
                <w:color w:val="202124"/>
                <w:sz w:val="26"/>
                <w:szCs w:val="26"/>
                <w:shd w:val="clear" w:color="auto" w:fill="FFFFFF"/>
              </w:rPr>
            </w:pPr>
            <w:r>
              <w:rPr>
                <w:rFonts w:cs="Arial"/>
                <w:noProof/>
                <w:color w:val="202124"/>
                <w:sz w:val="26"/>
                <w:szCs w:val="26"/>
                <w:shd w:val="clear" w:color="auto" w:fill="FFFFFF"/>
              </w:rPr>
              <w:t>3.7%</w:t>
            </w:r>
          </w:p>
        </w:tc>
        <w:tc>
          <w:tcPr>
            <w:tcW w:w="1088" w:type="dxa"/>
            <w:shd w:val="clear" w:color="auto" w:fill="D9D9D9" w:themeFill="background1" w:themeFillShade="D9"/>
          </w:tcPr>
          <w:p w14:paraId="6CEFEF81" w14:textId="77777777" w:rsidR="003C41A1" w:rsidRPr="00E66E8E" w:rsidRDefault="003C41A1" w:rsidP="00572BB4">
            <w:pPr>
              <w:spacing w:after="0" w:line="240" w:lineRule="auto"/>
              <w:jc w:val="center"/>
              <w:rPr>
                <w:rFonts w:cs="Arial"/>
                <w:noProof/>
                <w:color w:val="202124"/>
                <w:sz w:val="26"/>
                <w:szCs w:val="26"/>
                <w:shd w:val="clear" w:color="auto" w:fill="FFFFFF"/>
              </w:rPr>
            </w:pPr>
          </w:p>
        </w:tc>
      </w:tr>
    </w:tbl>
    <w:p w14:paraId="3A98FB85" w14:textId="77777777" w:rsidR="003C41A1" w:rsidRDefault="003C41A1" w:rsidP="003C41A1">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br w:type="textWrapping" w:clear="all"/>
      </w:r>
    </w:p>
    <w:p w14:paraId="19F5E699" w14:textId="77777777" w:rsidR="003C41A1" w:rsidRDefault="003C41A1" w:rsidP="003C41A1">
      <w:pPr>
        <w:spacing w:after="0" w:line="240" w:lineRule="auto"/>
        <w:jc w:val="both"/>
        <w:rPr>
          <w:rFonts w:cs="Arial"/>
          <w:noProof/>
          <w:color w:val="202124"/>
          <w:sz w:val="26"/>
          <w:szCs w:val="26"/>
          <w:shd w:val="clear" w:color="auto" w:fill="FFFFFF"/>
        </w:rPr>
      </w:pPr>
      <w:r>
        <w:rPr>
          <w:rFonts w:cs="Arial"/>
          <w:noProof/>
          <w:color w:val="202124"/>
          <w:sz w:val="26"/>
          <w:szCs w:val="26"/>
          <w:shd w:val="clear" w:color="auto" w:fill="FFFFFF"/>
        </w:rPr>
        <w:t xml:space="preserve">Very few children remain subject to a Child Protection Plan for two years or more. The figure for 2021-22 is below either of the previous two years and well below the national average. All of these cases are subject to regular scrutiny. </w:t>
      </w:r>
    </w:p>
    <w:p w14:paraId="099C47CA" w14:textId="77777777" w:rsidR="003C41A1" w:rsidRDefault="003C41A1" w:rsidP="003C41A1">
      <w:pPr>
        <w:spacing w:after="0" w:line="240" w:lineRule="auto"/>
        <w:rPr>
          <w:rFonts w:cs="Arial"/>
          <w:noProof/>
          <w:color w:val="202124"/>
          <w:sz w:val="26"/>
          <w:szCs w:val="26"/>
          <w:shd w:val="clear" w:color="auto" w:fill="FFFFFF"/>
        </w:rPr>
      </w:pPr>
    </w:p>
    <w:p w14:paraId="64914D88" w14:textId="77777777" w:rsidR="00A81821" w:rsidRDefault="00A81821" w:rsidP="003C41A1">
      <w:pPr>
        <w:jc w:val="center"/>
        <w:rPr>
          <w:rFonts w:hAnsi="Calibri"/>
          <w:color w:val="000000" w:themeColor="text1"/>
          <w:kern w:val="24"/>
          <w:sz w:val="32"/>
          <w:szCs w:val="32"/>
        </w:rPr>
      </w:pPr>
    </w:p>
    <w:p w14:paraId="4B7AB971" w14:textId="1630AE09" w:rsidR="003C41A1" w:rsidRPr="006B5E99" w:rsidRDefault="003C41A1" w:rsidP="003C41A1">
      <w:pPr>
        <w:jc w:val="center"/>
        <w:rPr>
          <w:rFonts w:hAnsi="Calibri"/>
          <w:color w:val="000000" w:themeColor="text1"/>
          <w:kern w:val="24"/>
          <w:sz w:val="32"/>
          <w:szCs w:val="32"/>
        </w:rPr>
      </w:pPr>
      <w:r w:rsidRPr="006B5E99">
        <w:rPr>
          <w:rFonts w:hAnsi="Calibri"/>
          <w:color w:val="000000" w:themeColor="text1"/>
          <w:kern w:val="24"/>
          <w:sz w:val="32"/>
          <w:szCs w:val="32"/>
        </w:rPr>
        <w:lastRenderedPageBreak/>
        <w:t>% CPP types at 31st March</w:t>
      </w:r>
    </w:p>
    <w:p w14:paraId="3E291292" w14:textId="77777777" w:rsidR="003C41A1" w:rsidRPr="00E66E8E" w:rsidRDefault="003C41A1" w:rsidP="003C41A1">
      <w:pPr>
        <w:spacing w:after="0" w:line="240" w:lineRule="auto"/>
        <w:jc w:val="center"/>
        <w:rPr>
          <w:rFonts w:cs="Arial"/>
          <w:noProof/>
          <w:color w:val="202124"/>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0"/>
        <w:gridCol w:w="2020"/>
        <w:gridCol w:w="1780"/>
      </w:tblGrid>
      <w:tr w:rsidR="003C41A1" w:rsidRPr="00E66E8E" w14:paraId="06FA9344" w14:textId="77777777" w:rsidTr="00572BB4">
        <w:trPr>
          <w:trHeight w:val="300"/>
          <w:jc w:val="center"/>
        </w:trPr>
        <w:tc>
          <w:tcPr>
            <w:tcW w:w="1840" w:type="dxa"/>
            <w:noWrap/>
            <w:tcMar>
              <w:top w:w="0" w:type="dxa"/>
              <w:left w:w="108" w:type="dxa"/>
              <w:bottom w:w="0" w:type="dxa"/>
              <w:right w:w="108" w:type="dxa"/>
            </w:tcMar>
            <w:hideMark/>
          </w:tcPr>
          <w:p w14:paraId="48BA41CE" w14:textId="77777777" w:rsidR="003C41A1" w:rsidRPr="00E66E8E" w:rsidRDefault="003C41A1" w:rsidP="00572BB4">
            <w:pPr>
              <w:spacing w:after="0" w:line="240" w:lineRule="auto"/>
              <w:jc w:val="both"/>
              <w:rPr>
                <w:rFonts w:cs="Arial"/>
                <w:noProof/>
                <w:color w:val="202124"/>
                <w:sz w:val="26"/>
                <w:szCs w:val="26"/>
                <w:shd w:val="clear" w:color="auto" w:fill="FFFFFF"/>
              </w:rPr>
            </w:pPr>
            <w:r w:rsidRPr="00E66E8E">
              <w:rPr>
                <w:rFonts w:cs="Arial"/>
                <w:noProof/>
                <w:color w:val="202124"/>
                <w:sz w:val="26"/>
                <w:szCs w:val="26"/>
                <w:shd w:val="clear" w:color="auto" w:fill="FFFFFF"/>
              </w:rPr>
              <w:t>Year</w:t>
            </w:r>
          </w:p>
        </w:tc>
        <w:tc>
          <w:tcPr>
            <w:tcW w:w="2020" w:type="dxa"/>
            <w:noWrap/>
            <w:tcMar>
              <w:top w:w="0" w:type="dxa"/>
              <w:left w:w="108" w:type="dxa"/>
              <w:bottom w:w="0" w:type="dxa"/>
              <w:right w:w="108" w:type="dxa"/>
            </w:tcMar>
            <w:hideMark/>
          </w:tcPr>
          <w:p w14:paraId="2C7B62B7" w14:textId="77777777" w:rsidR="003C41A1" w:rsidRPr="00E66E8E" w:rsidRDefault="003C41A1" w:rsidP="00572BB4">
            <w:pPr>
              <w:spacing w:after="0" w:line="240" w:lineRule="auto"/>
              <w:rPr>
                <w:rFonts w:cs="Arial"/>
                <w:noProof/>
                <w:color w:val="202124"/>
                <w:sz w:val="26"/>
                <w:szCs w:val="26"/>
                <w:shd w:val="clear" w:color="auto" w:fill="FFFFFF"/>
              </w:rPr>
            </w:pPr>
            <w:r w:rsidRPr="00E66E8E">
              <w:rPr>
                <w:rFonts w:cs="Arial"/>
                <w:noProof/>
                <w:color w:val="202124"/>
                <w:sz w:val="26"/>
                <w:szCs w:val="26"/>
                <w:shd w:val="clear" w:color="auto" w:fill="FFFFFF"/>
              </w:rPr>
              <w:t>MKC Count 20</w:t>
            </w:r>
            <w:r>
              <w:rPr>
                <w:rFonts w:cs="Arial"/>
                <w:noProof/>
                <w:color w:val="202124"/>
                <w:sz w:val="26"/>
                <w:szCs w:val="26"/>
                <w:shd w:val="clear" w:color="auto" w:fill="FFFFFF"/>
              </w:rPr>
              <w:t>21-22</w:t>
            </w:r>
          </w:p>
        </w:tc>
        <w:tc>
          <w:tcPr>
            <w:tcW w:w="1780" w:type="dxa"/>
            <w:noWrap/>
            <w:tcMar>
              <w:top w:w="0" w:type="dxa"/>
              <w:left w:w="108" w:type="dxa"/>
              <w:bottom w:w="0" w:type="dxa"/>
              <w:right w:w="108" w:type="dxa"/>
            </w:tcMar>
            <w:hideMark/>
          </w:tcPr>
          <w:p w14:paraId="1486C905" w14:textId="77777777" w:rsidR="003C41A1" w:rsidRDefault="003C41A1" w:rsidP="00572BB4">
            <w:pPr>
              <w:spacing w:after="0" w:line="240" w:lineRule="auto"/>
              <w:rPr>
                <w:rFonts w:cs="Arial"/>
                <w:noProof/>
                <w:color w:val="202124"/>
                <w:sz w:val="26"/>
                <w:szCs w:val="26"/>
                <w:shd w:val="clear" w:color="auto" w:fill="FFFFFF"/>
              </w:rPr>
            </w:pPr>
            <w:r w:rsidRPr="00E66E8E">
              <w:rPr>
                <w:rFonts w:cs="Arial"/>
                <w:noProof/>
                <w:color w:val="202124"/>
                <w:sz w:val="26"/>
                <w:szCs w:val="26"/>
                <w:shd w:val="clear" w:color="auto" w:fill="FFFFFF"/>
              </w:rPr>
              <w:t xml:space="preserve">MKC % </w:t>
            </w:r>
          </w:p>
          <w:p w14:paraId="11DA83AF" w14:textId="77777777" w:rsidR="003C41A1" w:rsidRPr="00E66E8E" w:rsidRDefault="003C41A1" w:rsidP="00572BB4">
            <w:pPr>
              <w:spacing w:after="0" w:line="240" w:lineRule="auto"/>
              <w:rPr>
                <w:rFonts w:cs="Arial"/>
                <w:noProof/>
                <w:color w:val="202124"/>
                <w:sz w:val="26"/>
                <w:szCs w:val="26"/>
                <w:shd w:val="clear" w:color="auto" w:fill="FFFFFF"/>
              </w:rPr>
            </w:pPr>
            <w:r w:rsidRPr="00E66E8E">
              <w:rPr>
                <w:rFonts w:cs="Arial"/>
                <w:noProof/>
                <w:color w:val="202124"/>
                <w:sz w:val="26"/>
                <w:szCs w:val="26"/>
                <w:shd w:val="clear" w:color="auto" w:fill="FFFFFF"/>
              </w:rPr>
              <w:t>20</w:t>
            </w:r>
            <w:r>
              <w:rPr>
                <w:rFonts w:cs="Arial"/>
                <w:noProof/>
                <w:color w:val="202124"/>
                <w:sz w:val="26"/>
                <w:szCs w:val="26"/>
                <w:shd w:val="clear" w:color="auto" w:fill="FFFFFF"/>
              </w:rPr>
              <w:t>21-22</w:t>
            </w:r>
          </w:p>
        </w:tc>
      </w:tr>
      <w:tr w:rsidR="003C41A1" w:rsidRPr="005218DC" w14:paraId="1FA6204B" w14:textId="77777777" w:rsidTr="00572BB4">
        <w:trPr>
          <w:trHeight w:val="300"/>
          <w:jc w:val="center"/>
        </w:trPr>
        <w:tc>
          <w:tcPr>
            <w:tcW w:w="1840" w:type="dxa"/>
            <w:noWrap/>
            <w:tcMar>
              <w:top w:w="0" w:type="dxa"/>
              <w:left w:w="108" w:type="dxa"/>
              <w:bottom w:w="0" w:type="dxa"/>
              <w:right w:w="108" w:type="dxa"/>
            </w:tcMar>
            <w:hideMark/>
          </w:tcPr>
          <w:p w14:paraId="55F03E24"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sidRPr="005218DC">
              <w:rPr>
                <w:rFonts w:cs="Arial"/>
                <w:noProof/>
                <w:color w:val="000000" w:themeColor="text1"/>
                <w:sz w:val="26"/>
                <w:szCs w:val="26"/>
                <w:shd w:val="clear" w:color="auto" w:fill="FFFFFF"/>
              </w:rPr>
              <w:t>Neglect</w:t>
            </w:r>
          </w:p>
        </w:tc>
        <w:tc>
          <w:tcPr>
            <w:tcW w:w="2020" w:type="dxa"/>
            <w:noWrap/>
            <w:tcMar>
              <w:top w:w="0" w:type="dxa"/>
              <w:left w:w="108" w:type="dxa"/>
              <w:bottom w:w="0" w:type="dxa"/>
              <w:right w:w="108" w:type="dxa"/>
            </w:tcMar>
          </w:tcPr>
          <w:p w14:paraId="7C8CCBE2"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145</w:t>
            </w:r>
          </w:p>
        </w:tc>
        <w:tc>
          <w:tcPr>
            <w:tcW w:w="1780" w:type="dxa"/>
            <w:noWrap/>
            <w:tcMar>
              <w:top w:w="0" w:type="dxa"/>
              <w:left w:w="108" w:type="dxa"/>
              <w:bottom w:w="0" w:type="dxa"/>
              <w:right w:w="108" w:type="dxa"/>
            </w:tcMar>
          </w:tcPr>
          <w:p w14:paraId="40769104"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76.7%</w:t>
            </w:r>
          </w:p>
        </w:tc>
      </w:tr>
      <w:tr w:rsidR="003C41A1" w:rsidRPr="005218DC" w14:paraId="04D2D8EF" w14:textId="77777777" w:rsidTr="00572BB4">
        <w:trPr>
          <w:trHeight w:val="300"/>
          <w:jc w:val="center"/>
        </w:trPr>
        <w:tc>
          <w:tcPr>
            <w:tcW w:w="1840" w:type="dxa"/>
            <w:noWrap/>
            <w:tcMar>
              <w:top w:w="0" w:type="dxa"/>
              <w:left w:w="108" w:type="dxa"/>
              <w:bottom w:w="0" w:type="dxa"/>
              <w:right w:w="108" w:type="dxa"/>
            </w:tcMar>
            <w:hideMark/>
          </w:tcPr>
          <w:p w14:paraId="4331AEEB"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sidRPr="005218DC">
              <w:rPr>
                <w:rFonts w:cs="Arial"/>
                <w:noProof/>
                <w:color w:val="000000" w:themeColor="text1"/>
                <w:sz w:val="26"/>
                <w:szCs w:val="26"/>
                <w:shd w:val="clear" w:color="auto" w:fill="FFFFFF"/>
              </w:rPr>
              <w:t>Physical Abuse</w:t>
            </w:r>
          </w:p>
        </w:tc>
        <w:tc>
          <w:tcPr>
            <w:tcW w:w="2020" w:type="dxa"/>
            <w:noWrap/>
            <w:tcMar>
              <w:top w:w="0" w:type="dxa"/>
              <w:left w:w="108" w:type="dxa"/>
              <w:bottom w:w="0" w:type="dxa"/>
              <w:right w:w="108" w:type="dxa"/>
            </w:tcMar>
          </w:tcPr>
          <w:p w14:paraId="641046C2"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7</w:t>
            </w:r>
          </w:p>
        </w:tc>
        <w:tc>
          <w:tcPr>
            <w:tcW w:w="1780" w:type="dxa"/>
            <w:noWrap/>
            <w:tcMar>
              <w:top w:w="0" w:type="dxa"/>
              <w:left w:w="108" w:type="dxa"/>
              <w:bottom w:w="0" w:type="dxa"/>
              <w:right w:w="108" w:type="dxa"/>
            </w:tcMar>
          </w:tcPr>
          <w:p w14:paraId="5F777510"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3.7%</w:t>
            </w:r>
          </w:p>
        </w:tc>
      </w:tr>
      <w:tr w:rsidR="003C41A1" w:rsidRPr="005218DC" w14:paraId="4FD75B97" w14:textId="77777777" w:rsidTr="00572BB4">
        <w:trPr>
          <w:trHeight w:val="300"/>
          <w:jc w:val="center"/>
        </w:trPr>
        <w:tc>
          <w:tcPr>
            <w:tcW w:w="1840" w:type="dxa"/>
            <w:noWrap/>
            <w:tcMar>
              <w:top w:w="0" w:type="dxa"/>
              <w:left w:w="108" w:type="dxa"/>
              <w:bottom w:w="0" w:type="dxa"/>
              <w:right w:w="108" w:type="dxa"/>
            </w:tcMar>
            <w:hideMark/>
          </w:tcPr>
          <w:p w14:paraId="27D8EE71"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sidRPr="005218DC">
              <w:rPr>
                <w:rFonts w:cs="Arial"/>
                <w:noProof/>
                <w:color w:val="000000" w:themeColor="text1"/>
                <w:sz w:val="26"/>
                <w:szCs w:val="26"/>
                <w:shd w:val="clear" w:color="auto" w:fill="FFFFFF"/>
              </w:rPr>
              <w:t>Sexual Abuse</w:t>
            </w:r>
          </w:p>
        </w:tc>
        <w:tc>
          <w:tcPr>
            <w:tcW w:w="2020" w:type="dxa"/>
            <w:noWrap/>
            <w:tcMar>
              <w:top w:w="0" w:type="dxa"/>
              <w:left w:w="108" w:type="dxa"/>
              <w:bottom w:w="0" w:type="dxa"/>
              <w:right w:w="108" w:type="dxa"/>
            </w:tcMar>
          </w:tcPr>
          <w:p w14:paraId="48401F92"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0</w:t>
            </w:r>
          </w:p>
        </w:tc>
        <w:tc>
          <w:tcPr>
            <w:tcW w:w="1780" w:type="dxa"/>
            <w:noWrap/>
            <w:tcMar>
              <w:top w:w="0" w:type="dxa"/>
              <w:left w:w="108" w:type="dxa"/>
              <w:bottom w:w="0" w:type="dxa"/>
              <w:right w:w="108" w:type="dxa"/>
            </w:tcMar>
          </w:tcPr>
          <w:p w14:paraId="5F07F88E"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0%</w:t>
            </w:r>
          </w:p>
        </w:tc>
      </w:tr>
      <w:tr w:rsidR="003C41A1" w:rsidRPr="005218DC" w14:paraId="01055842" w14:textId="77777777" w:rsidTr="00572BB4">
        <w:trPr>
          <w:trHeight w:val="300"/>
          <w:jc w:val="center"/>
        </w:trPr>
        <w:tc>
          <w:tcPr>
            <w:tcW w:w="1840" w:type="dxa"/>
            <w:noWrap/>
            <w:tcMar>
              <w:top w:w="0" w:type="dxa"/>
              <w:left w:w="108" w:type="dxa"/>
              <w:bottom w:w="0" w:type="dxa"/>
              <w:right w:w="108" w:type="dxa"/>
            </w:tcMar>
            <w:hideMark/>
          </w:tcPr>
          <w:p w14:paraId="13E1A14D"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sidRPr="005218DC">
              <w:rPr>
                <w:rFonts w:cs="Arial"/>
                <w:noProof/>
                <w:color w:val="000000" w:themeColor="text1"/>
                <w:sz w:val="26"/>
                <w:szCs w:val="26"/>
                <w:shd w:val="clear" w:color="auto" w:fill="FFFFFF"/>
              </w:rPr>
              <w:t xml:space="preserve">Emotional </w:t>
            </w:r>
          </w:p>
          <w:p w14:paraId="51F5BA99"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p>
        </w:tc>
        <w:tc>
          <w:tcPr>
            <w:tcW w:w="2020" w:type="dxa"/>
            <w:noWrap/>
            <w:tcMar>
              <w:top w:w="0" w:type="dxa"/>
              <w:left w:w="108" w:type="dxa"/>
              <w:bottom w:w="0" w:type="dxa"/>
              <w:right w:w="108" w:type="dxa"/>
            </w:tcMar>
          </w:tcPr>
          <w:p w14:paraId="5B045F30"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37</w:t>
            </w:r>
          </w:p>
        </w:tc>
        <w:tc>
          <w:tcPr>
            <w:tcW w:w="1780" w:type="dxa"/>
            <w:noWrap/>
            <w:tcMar>
              <w:top w:w="0" w:type="dxa"/>
              <w:left w:w="108" w:type="dxa"/>
              <w:bottom w:w="0" w:type="dxa"/>
              <w:right w:w="108" w:type="dxa"/>
            </w:tcMar>
          </w:tcPr>
          <w:p w14:paraId="51C4ABF3"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19.6%</w:t>
            </w:r>
          </w:p>
        </w:tc>
      </w:tr>
      <w:tr w:rsidR="003C41A1" w:rsidRPr="005218DC" w14:paraId="23F91BE7" w14:textId="77777777" w:rsidTr="00572BB4">
        <w:trPr>
          <w:trHeight w:val="300"/>
          <w:jc w:val="center"/>
        </w:trPr>
        <w:tc>
          <w:tcPr>
            <w:tcW w:w="1840" w:type="dxa"/>
            <w:noWrap/>
            <w:tcMar>
              <w:top w:w="0" w:type="dxa"/>
              <w:left w:w="108" w:type="dxa"/>
              <w:bottom w:w="0" w:type="dxa"/>
              <w:right w:w="108" w:type="dxa"/>
            </w:tcMar>
          </w:tcPr>
          <w:p w14:paraId="45177A53"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sidRPr="005218DC">
              <w:rPr>
                <w:rFonts w:cs="Arial"/>
                <w:noProof/>
                <w:color w:val="000000" w:themeColor="text1"/>
                <w:sz w:val="26"/>
                <w:szCs w:val="26"/>
                <w:shd w:val="clear" w:color="auto" w:fill="FFFFFF"/>
              </w:rPr>
              <w:t xml:space="preserve">Total      </w:t>
            </w:r>
          </w:p>
        </w:tc>
        <w:tc>
          <w:tcPr>
            <w:tcW w:w="2020" w:type="dxa"/>
            <w:noWrap/>
            <w:tcMar>
              <w:top w:w="0" w:type="dxa"/>
              <w:left w:w="108" w:type="dxa"/>
              <w:bottom w:w="0" w:type="dxa"/>
              <w:right w:w="108" w:type="dxa"/>
            </w:tcMar>
          </w:tcPr>
          <w:p w14:paraId="30BC8B49"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r>
              <w:rPr>
                <w:rFonts w:cs="Arial"/>
                <w:noProof/>
                <w:color w:val="000000" w:themeColor="text1"/>
                <w:sz w:val="26"/>
                <w:szCs w:val="26"/>
                <w:shd w:val="clear" w:color="auto" w:fill="FFFFFF"/>
              </w:rPr>
              <w:t>185</w:t>
            </w:r>
          </w:p>
        </w:tc>
        <w:tc>
          <w:tcPr>
            <w:tcW w:w="1780" w:type="dxa"/>
            <w:shd w:val="clear" w:color="auto" w:fill="D9D9D9" w:themeFill="background1" w:themeFillShade="D9"/>
            <w:noWrap/>
            <w:tcMar>
              <w:top w:w="0" w:type="dxa"/>
              <w:left w:w="108" w:type="dxa"/>
              <w:bottom w:w="0" w:type="dxa"/>
              <w:right w:w="108" w:type="dxa"/>
            </w:tcMar>
          </w:tcPr>
          <w:p w14:paraId="4C383940" w14:textId="77777777" w:rsidR="003C41A1" w:rsidRPr="005218DC" w:rsidRDefault="003C41A1" w:rsidP="00572BB4">
            <w:pPr>
              <w:spacing w:after="0" w:line="240" w:lineRule="auto"/>
              <w:jc w:val="both"/>
              <w:rPr>
                <w:rFonts w:cs="Arial"/>
                <w:noProof/>
                <w:color w:val="000000" w:themeColor="text1"/>
                <w:sz w:val="26"/>
                <w:szCs w:val="26"/>
                <w:shd w:val="clear" w:color="auto" w:fill="FFFFFF"/>
              </w:rPr>
            </w:pPr>
          </w:p>
        </w:tc>
      </w:tr>
    </w:tbl>
    <w:p w14:paraId="26B0239E" w14:textId="77777777" w:rsidR="003C41A1" w:rsidRPr="005218DC" w:rsidRDefault="003C41A1" w:rsidP="003C41A1">
      <w:pPr>
        <w:autoSpaceDE w:val="0"/>
        <w:autoSpaceDN w:val="0"/>
        <w:adjustRightInd w:val="0"/>
        <w:spacing w:after="0" w:line="240" w:lineRule="auto"/>
        <w:rPr>
          <w:rFonts w:cs="Arial"/>
          <w:noProof/>
          <w:color w:val="000000" w:themeColor="text1"/>
          <w:sz w:val="26"/>
          <w:szCs w:val="26"/>
          <w:shd w:val="clear" w:color="auto" w:fill="FFFFFF"/>
        </w:rPr>
      </w:pPr>
    </w:p>
    <w:p w14:paraId="4E532ECD" w14:textId="77777777" w:rsidR="003C41A1" w:rsidRDefault="003C41A1" w:rsidP="003C41A1">
      <w:pPr>
        <w:spacing w:line="240" w:lineRule="auto"/>
        <w:ind w:right="-510"/>
        <w:rPr>
          <w:rFonts w:eastAsia="Times New Roman" w:cstheme="minorHAnsi"/>
          <w:bCs/>
          <w:sz w:val="26"/>
          <w:szCs w:val="26"/>
        </w:rPr>
      </w:pPr>
      <w:r>
        <w:rPr>
          <w:rFonts w:eastAsia="Times New Roman" w:cstheme="minorHAnsi"/>
          <w:bCs/>
          <w:sz w:val="26"/>
          <w:szCs w:val="26"/>
        </w:rPr>
        <w:t xml:space="preserve">Once again, the main category under which children were made subject to Child Protection Plans during 2021-22 was neglect which accounts for 76.7% of the total (the figure was 78% for the previous year). </w:t>
      </w:r>
    </w:p>
    <w:p w14:paraId="68375679" w14:textId="77777777" w:rsidR="003C41A1" w:rsidRDefault="003C41A1" w:rsidP="003C41A1">
      <w:pPr>
        <w:spacing w:line="240" w:lineRule="auto"/>
        <w:ind w:right="-510"/>
        <w:rPr>
          <w:rFonts w:eastAsia="Times New Roman" w:cstheme="minorHAnsi"/>
          <w:bCs/>
          <w:sz w:val="26"/>
          <w:szCs w:val="26"/>
        </w:rPr>
      </w:pPr>
      <w:r>
        <w:rPr>
          <w:rFonts w:eastAsia="Times New Roman" w:cstheme="minorHAnsi"/>
          <w:bCs/>
          <w:sz w:val="26"/>
          <w:szCs w:val="26"/>
        </w:rPr>
        <w:t xml:space="preserve">As in previous years, Milton Keynes has a higher than average proportion of children subject to plans where the category is neglect. It is noted that there are significant variations between Local Authorities. Research (NSPCC) suggests that neglect is prevalent in serious case reviews and affects approximately 10% of all children across all age groups. We know that neglect can be life threatening and must be treated very seriously. </w:t>
      </w:r>
    </w:p>
    <w:p w14:paraId="2DFD3E4B" w14:textId="77777777" w:rsidR="003C41A1" w:rsidRDefault="003C41A1" w:rsidP="003C41A1">
      <w:pPr>
        <w:spacing w:line="240" w:lineRule="auto"/>
        <w:ind w:right="-510"/>
        <w:rPr>
          <w:rFonts w:eastAsia="Times New Roman" w:cstheme="minorHAnsi"/>
          <w:bCs/>
          <w:sz w:val="26"/>
          <w:szCs w:val="26"/>
        </w:rPr>
      </w:pPr>
      <w:r>
        <w:rPr>
          <w:rFonts w:eastAsia="Times New Roman" w:cstheme="minorHAnsi"/>
          <w:bCs/>
          <w:sz w:val="26"/>
          <w:szCs w:val="26"/>
        </w:rPr>
        <w:t>There is always an element of subjectivity in deciding upon a category for a Child Protection Plan and clear definitions are provided to attendees. It is the responsibility of all those in attendance to carefully consider the categories and make recommendations where there is no clear evidence of physical or sexual abuse while acknowledging that these issues may be present. We know that the issues impacting on children are domestic violence, parental poor mental health and drug and alcohol difficulties. The Independent Chair must make the final decision about the category in this respect.</w:t>
      </w:r>
    </w:p>
    <w:p w14:paraId="6FD1D014" w14:textId="77777777" w:rsidR="003C41A1" w:rsidRDefault="003C41A1" w:rsidP="000E288A">
      <w:pPr>
        <w:pStyle w:val="Heading2"/>
      </w:pPr>
    </w:p>
    <w:p w14:paraId="154FEA37" w14:textId="03D474B8" w:rsidR="000E288A" w:rsidRDefault="00D209B2" w:rsidP="000E288A">
      <w:pPr>
        <w:pStyle w:val="Heading2"/>
      </w:pPr>
      <w:r>
        <w:t>Participation</w:t>
      </w:r>
    </w:p>
    <w:p w14:paraId="6DB85ACC" w14:textId="77777777" w:rsidR="00AF34D5" w:rsidRDefault="00AF34D5" w:rsidP="00572BB4">
      <w:pPr>
        <w:spacing w:line="240" w:lineRule="auto"/>
        <w:ind w:right="-510"/>
        <w:rPr>
          <w:rFonts w:eastAsia="Times New Roman" w:cstheme="minorHAnsi"/>
          <w:bCs/>
          <w:sz w:val="26"/>
          <w:szCs w:val="26"/>
        </w:rPr>
      </w:pPr>
      <w:r>
        <w:rPr>
          <w:rFonts w:eastAsia="Times New Roman" w:cstheme="minorHAnsi"/>
          <w:bCs/>
          <w:sz w:val="26"/>
          <w:szCs w:val="26"/>
        </w:rPr>
        <w:t xml:space="preserve">It is fundamentally important to ensure that families participate fully in Child Protection Conferences. In the case of children and young people, it is the role of the chair to ensure that their wishes and feelings remain central to the process and that they fully understand the decision making process and their contribution to it. </w:t>
      </w:r>
    </w:p>
    <w:p w14:paraId="54803F4A" w14:textId="77777777" w:rsidR="00AF34D5" w:rsidRDefault="00AF34D5" w:rsidP="00572BB4">
      <w:pPr>
        <w:spacing w:line="240" w:lineRule="auto"/>
        <w:ind w:right="-510"/>
        <w:rPr>
          <w:rFonts w:eastAsia="Times New Roman" w:cstheme="minorHAnsi"/>
          <w:bCs/>
          <w:sz w:val="26"/>
          <w:szCs w:val="26"/>
        </w:rPr>
      </w:pPr>
      <w:r>
        <w:rPr>
          <w:rFonts w:eastAsia="Times New Roman" w:cstheme="minorHAnsi"/>
          <w:bCs/>
          <w:sz w:val="26"/>
          <w:szCs w:val="26"/>
        </w:rPr>
        <w:t>Consideration should be given to children and young people attending the conference if it is appropriate for them to do so and as long as it can be managed effectively and safely. All children of secondary school age are automatically referred to an independent advocacy service who will liaise with them and help represent their views.</w:t>
      </w:r>
    </w:p>
    <w:p w14:paraId="5708EB66" w14:textId="77777777" w:rsidR="00AF34D5" w:rsidRDefault="00AF34D5" w:rsidP="00572BB4">
      <w:pPr>
        <w:spacing w:line="240" w:lineRule="auto"/>
        <w:ind w:right="-510"/>
        <w:rPr>
          <w:rFonts w:eastAsia="Times New Roman" w:cstheme="minorHAnsi"/>
          <w:bCs/>
          <w:sz w:val="26"/>
          <w:szCs w:val="26"/>
        </w:rPr>
      </w:pPr>
      <w:r>
        <w:rPr>
          <w:rFonts w:eastAsia="Times New Roman" w:cstheme="minorHAnsi"/>
          <w:bCs/>
          <w:sz w:val="26"/>
          <w:szCs w:val="26"/>
        </w:rPr>
        <w:t xml:space="preserve">There is an expectation that the Social Worker will work effectively with families so that they understand the reasons for conference and ensure that all relevant paperwork is shared with them. They are required to prepare a C&amp;F assessment which should be done alongside the family and shared with them not less than 24 hours before the conference. Regular Core Groups should ensure that families are clear about what is expected of </w:t>
      </w:r>
      <w:r>
        <w:rPr>
          <w:rFonts w:eastAsia="Times New Roman" w:cstheme="minorHAnsi"/>
          <w:bCs/>
          <w:sz w:val="26"/>
          <w:szCs w:val="26"/>
        </w:rPr>
        <w:lastRenderedPageBreak/>
        <w:t xml:space="preserve">them, how this is measured and how they can demonstrate that the risks have reduced within a reasonable timescale. </w:t>
      </w:r>
    </w:p>
    <w:tbl>
      <w:tblPr>
        <w:tblStyle w:val="TableGrid"/>
        <w:tblW w:w="9016" w:type="dxa"/>
        <w:jc w:val="center"/>
        <w:tblLook w:val="04A0" w:firstRow="1" w:lastRow="0" w:firstColumn="1" w:lastColumn="0" w:noHBand="0" w:noVBand="1"/>
      </w:tblPr>
      <w:tblGrid>
        <w:gridCol w:w="1565"/>
        <w:gridCol w:w="1489"/>
        <w:gridCol w:w="1490"/>
        <w:gridCol w:w="1490"/>
        <w:gridCol w:w="1490"/>
        <w:gridCol w:w="1492"/>
      </w:tblGrid>
      <w:tr w:rsidR="00AF34D5" w:rsidRPr="000601DB" w14:paraId="5BD91648" w14:textId="77777777" w:rsidTr="00572BB4">
        <w:trPr>
          <w:jc w:val="center"/>
        </w:trPr>
        <w:tc>
          <w:tcPr>
            <w:tcW w:w="1565" w:type="dxa"/>
          </w:tcPr>
          <w:p w14:paraId="0C3B8904" w14:textId="77777777" w:rsidR="00AF34D5" w:rsidRPr="000601DB" w:rsidRDefault="00AF34D5" w:rsidP="00572BB4">
            <w:pPr>
              <w:ind w:right="-510"/>
              <w:jc w:val="center"/>
              <w:rPr>
                <w:rFonts w:eastAsia="Times New Roman" w:cstheme="minorHAnsi"/>
                <w:bCs/>
                <w:sz w:val="26"/>
                <w:szCs w:val="26"/>
              </w:rPr>
            </w:pPr>
          </w:p>
        </w:tc>
        <w:tc>
          <w:tcPr>
            <w:tcW w:w="1489" w:type="dxa"/>
          </w:tcPr>
          <w:p w14:paraId="63041393"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Q1</w:t>
            </w:r>
          </w:p>
        </w:tc>
        <w:tc>
          <w:tcPr>
            <w:tcW w:w="1490" w:type="dxa"/>
          </w:tcPr>
          <w:p w14:paraId="2E6FE64A"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Q2</w:t>
            </w:r>
          </w:p>
        </w:tc>
        <w:tc>
          <w:tcPr>
            <w:tcW w:w="1490" w:type="dxa"/>
          </w:tcPr>
          <w:p w14:paraId="15E27057"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Q3</w:t>
            </w:r>
          </w:p>
        </w:tc>
        <w:tc>
          <w:tcPr>
            <w:tcW w:w="1490" w:type="dxa"/>
          </w:tcPr>
          <w:p w14:paraId="2AFC69B6"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Q4</w:t>
            </w:r>
          </w:p>
        </w:tc>
        <w:tc>
          <w:tcPr>
            <w:tcW w:w="1492" w:type="dxa"/>
          </w:tcPr>
          <w:p w14:paraId="3070361F"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Total</w:t>
            </w:r>
          </w:p>
        </w:tc>
      </w:tr>
      <w:tr w:rsidR="00AF34D5" w:rsidRPr="000601DB" w14:paraId="6B281EAF" w14:textId="77777777" w:rsidTr="00572BB4">
        <w:trPr>
          <w:jc w:val="center"/>
        </w:trPr>
        <w:tc>
          <w:tcPr>
            <w:tcW w:w="1565" w:type="dxa"/>
          </w:tcPr>
          <w:p w14:paraId="3238ABE3"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 xml:space="preserve">Children’s </w:t>
            </w:r>
            <w:r>
              <w:rPr>
                <w:rFonts w:eastAsia="Times New Roman" w:cstheme="minorHAnsi"/>
                <w:bCs/>
                <w:sz w:val="26"/>
                <w:szCs w:val="26"/>
              </w:rPr>
              <w:t xml:space="preserve">   </w:t>
            </w:r>
            <w:r w:rsidRPr="000601DB">
              <w:rPr>
                <w:rFonts w:eastAsia="Times New Roman" w:cstheme="minorHAnsi"/>
                <w:bCs/>
                <w:sz w:val="26"/>
                <w:szCs w:val="26"/>
              </w:rPr>
              <w:t>Attendance</w:t>
            </w:r>
          </w:p>
        </w:tc>
        <w:tc>
          <w:tcPr>
            <w:tcW w:w="1489" w:type="dxa"/>
          </w:tcPr>
          <w:p w14:paraId="4326F43D"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w:t>
            </w:r>
          </w:p>
        </w:tc>
        <w:tc>
          <w:tcPr>
            <w:tcW w:w="1490" w:type="dxa"/>
          </w:tcPr>
          <w:p w14:paraId="48749AA8"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11%</w:t>
            </w:r>
          </w:p>
        </w:tc>
        <w:tc>
          <w:tcPr>
            <w:tcW w:w="1490" w:type="dxa"/>
          </w:tcPr>
          <w:p w14:paraId="3C5DF859"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16%</w:t>
            </w:r>
          </w:p>
        </w:tc>
        <w:tc>
          <w:tcPr>
            <w:tcW w:w="1490" w:type="dxa"/>
          </w:tcPr>
          <w:p w14:paraId="7C0D3596"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10%</w:t>
            </w:r>
          </w:p>
        </w:tc>
        <w:tc>
          <w:tcPr>
            <w:tcW w:w="1492" w:type="dxa"/>
          </w:tcPr>
          <w:p w14:paraId="21CDB1BB"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12%</w:t>
            </w:r>
          </w:p>
        </w:tc>
      </w:tr>
      <w:tr w:rsidR="00AF34D5" w:rsidRPr="000601DB" w14:paraId="1E43A37E" w14:textId="77777777" w:rsidTr="00572BB4">
        <w:trPr>
          <w:jc w:val="center"/>
        </w:trPr>
        <w:tc>
          <w:tcPr>
            <w:tcW w:w="1565" w:type="dxa"/>
          </w:tcPr>
          <w:p w14:paraId="7D2E11E9"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 xml:space="preserve">Children’s </w:t>
            </w:r>
            <w:r>
              <w:rPr>
                <w:rFonts w:eastAsia="Times New Roman" w:cstheme="minorHAnsi"/>
                <w:bCs/>
                <w:sz w:val="26"/>
                <w:szCs w:val="26"/>
              </w:rPr>
              <w:t>Participation</w:t>
            </w:r>
          </w:p>
        </w:tc>
        <w:tc>
          <w:tcPr>
            <w:tcW w:w="1489" w:type="dxa"/>
          </w:tcPr>
          <w:p w14:paraId="6B721F0A"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92%</w:t>
            </w:r>
          </w:p>
        </w:tc>
        <w:tc>
          <w:tcPr>
            <w:tcW w:w="1490" w:type="dxa"/>
          </w:tcPr>
          <w:p w14:paraId="141DA52B"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85%</w:t>
            </w:r>
          </w:p>
        </w:tc>
        <w:tc>
          <w:tcPr>
            <w:tcW w:w="1490" w:type="dxa"/>
          </w:tcPr>
          <w:p w14:paraId="505610B4"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69%</w:t>
            </w:r>
          </w:p>
        </w:tc>
        <w:tc>
          <w:tcPr>
            <w:tcW w:w="1490" w:type="dxa"/>
          </w:tcPr>
          <w:p w14:paraId="10CB9812"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62%</w:t>
            </w:r>
          </w:p>
        </w:tc>
        <w:tc>
          <w:tcPr>
            <w:tcW w:w="1492" w:type="dxa"/>
          </w:tcPr>
          <w:p w14:paraId="6D95935F"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74%</w:t>
            </w:r>
          </w:p>
        </w:tc>
      </w:tr>
    </w:tbl>
    <w:p w14:paraId="23E3D58B" w14:textId="77777777" w:rsidR="00AF34D5" w:rsidRDefault="00AF34D5" w:rsidP="00572BB4">
      <w:pPr>
        <w:spacing w:line="240" w:lineRule="auto"/>
        <w:ind w:right="-510"/>
        <w:rPr>
          <w:rFonts w:eastAsia="Times New Roman" w:cstheme="minorHAnsi"/>
          <w:bCs/>
          <w:sz w:val="26"/>
          <w:szCs w:val="26"/>
        </w:rPr>
      </w:pPr>
    </w:p>
    <w:p w14:paraId="7683F4E2" w14:textId="77777777" w:rsidR="00AF34D5" w:rsidRDefault="00AF34D5" w:rsidP="00572BB4">
      <w:pPr>
        <w:spacing w:line="240" w:lineRule="auto"/>
        <w:ind w:right="-510"/>
        <w:rPr>
          <w:rFonts w:eastAsia="Times New Roman" w:cstheme="minorHAnsi"/>
          <w:bCs/>
          <w:sz w:val="26"/>
          <w:szCs w:val="26"/>
        </w:rPr>
      </w:pPr>
      <w:r>
        <w:rPr>
          <w:rFonts w:eastAsia="Times New Roman" w:cstheme="minorHAnsi"/>
          <w:bCs/>
          <w:sz w:val="26"/>
          <w:szCs w:val="26"/>
        </w:rPr>
        <w:t xml:space="preserve">Figures for children’s attendance and participation has varied slightly over the period but has remained consistent in relation to last years figures. While it may not be appropriate for children to attend conferences in the majority of cases, the overall figure of 74% for participation is disappointing. It is for the safeguarding service and the independent chairs to consider how to improve this.  Chairs have met with the advocacy service on several occasions and </w:t>
      </w:r>
    </w:p>
    <w:p w14:paraId="3F567591" w14:textId="77777777" w:rsidR="00AF34D5" w:rsidRPr="000601DB" w:rsidRDefault="00AF34D5" w:rsidP="00572BB4">
      <w:pPr>
        <w:spacing w:line="240" w:lineRule="auto"/>
        <w:ind w:right="-510"/>
        <w:rPr>
          <w:rFonts w:eastAsia="Times New Roman" w:cstheme="minorHAnsi"/>
          <w:bCs/>
          <w:sz w:val="26"/>
          <w:szCs w:val="26"/>
        </w:rPr>
      </w:pPr>
    </w:p>
    <w:tbl>
      <w:tblPr>
        <w:tblStyle w:val="TableGrid"/>
        <w:tblW w:w="9016" w:type="dxa"/>
        <w:jc w:val="center"/>
        <w:tblLook w:val="04A0" w:firstRow="1" w:lastRow="0" w:firstColumn="1" w:lastColumn="0" w:noHBand="0" w:noVBand="1"/>
      </w:tblPr>
      <w:tblGrid>
        <w:gridCol w:w="1697"/>
        <w:gridCol w:w="1500"/>
        <w:gridCol w:w="1500"/>
        <w:gridCol w:w="1500"/>
        <w:gridCol w:w="1500"/>
        <w:gridCol w:w="1319"/>
      </w:tblGrid>
      <w:tr w:rsidR="00AF34D5" w:rsidRPr="000601DB" w14:paraId="777DA096" w14:textId="77777777" w:rsidTr="00572BB4">
        <w:trPr>
          <w:jc w:val="center"/>
        </w:trPr>
        <w:tc>
          <w:tcPr>
            <w:tcW w:w="1697" w:type="dxa"/>
          </w:tcPr>
          <w:p w14:paraId="72E91211" w14:textId="77777777" w:rsidR="00AF34D5" w:rsidRPr="000601DB" w:rsidRDefault="00AF34D5" w:rsidP="00572BB4">
            <w:pPr>
              <w:ind w:right="-510"/>
              <w:rPr>
                <w:rFonts w:eastAsia="Times New Roman" w:cstheme="minorHAnsi"/>
                <w:bCs/>
                <w:sz w:val="26"/>
                <w:szCs w:val="26"/>
              </w:rPr>
            </w:pPr>
          </w:p>
        </w:tc>
        <w:tc>
          <w:tcPr>
            <w:tcW w:w="1500" w:type="dxa"/>
          </w:tcPr>
          <w:p w14:paraId="72670092"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Q1</w:t>
            </w:r>
          </w:p>
        </w:tc>
        <w:tc>
          <w:tcPr>
            <w:tcW w:w="1500" w:type="dxa"/>
          </w:tcPr>
          <w:p w14:paraId="748DDE8B"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Q2</w:t>
            </w:r>
          </w:p>
        </w:tc>
        <w:tc>
          <w:tcPr>
            <w:tcW w:w="1500" w:type="dxa"/>
          </w:tcPr>
          <w:p w14:paraId="019F5DEE"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Q3</w:t>
            </w:r>
          </w:p>
        </w:tc>
        <w:tc>
          <w:tcPr>
            <w:tcW w:w="1500" w:type="dxa"/>
          </w:tcPr>
          <w:p w14:paraId="59E3286F"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Q4</w:t>
            </w:r>
          </w:p>
        </w:tc>
        <w:tc>
          <w:tcPr>
            <w:tcW w:w="1319" w:type="dxa"/>
          </w:tcPr>
          <w:p w14:paraId="7A931445"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Total</w:t>
            </w:r>
          </w:p>
        </w:tc>
      </w:tr>
      <w:tr w:rsidR="00AF34D5" w:rsidRPr="000601DB" w14:paraId="2990EDE6" w14:textId="77777777" w:rsidTr="00572BB4">
        <w:trPr>
          <w:jc w:val="center"/>
        </w:trPr>
        <w:tc>
          <w:tcPr>
            <w:tcW w:w="1697" w:type="dxa"/>
          </w:tcPr>
          <w:p w14:paraId="29868EB5"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Mothers      attendance</w:t>
            </w:r>
          </w:p>
        </w:tc>
        <w:tc>
          <w:tcPr>
            <w:tcW w:w="1500" w:type="dxa"/>
          </w:tcPr>
          <w:p w14:paraId="2A1D851B"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85%</w:t>
            </w:r>
          </w:p>
        </w:tc>
        <w:tc>
          <w:tcPr>
            <w:tcW w:w="1500" w:type="dxa"/>
          </w:tcPr>
          <w:p w14:paraId="49881DFF"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87%</w:t>
            </w:r>
          </w:p>
        </w:tc>
        <w:tc>
          <w:tcPr>
            <w:tcW w:w="1500" w:type="dxa"/>
          </w:tcPr>
          <w:p w14:paraId="05F39A87"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94%</w:t>
            </w:r>
          </w:p>
        </w:tc>
        <w:tc>
          <w:tcPr>
            <w:tcW w:w="1500" w:type="dxa"/>
          </w:tcPr>
          <w:p w14:paraId="6D7BED2E"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91%</w:t>
            </w:r>
          </w:p>
        </w:tc>
        <w:tc>
          <w:tcPr>
            <w:tcW w:w="1319" w:type="dxa"/>
          </w:tcPr>
          <w:p w14:paraId="4646EA22"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89%</w:t>
            </w:r>
          </w:p>
        </w:tc>
      </w:tr>
      <w:tr w:rsidR="00AF34D5" w:rsidRPr="000601DB" w14:paraId="4E9056B3" w14:textId="77777777" w:rsidTr="00572BB4">
        <w:trPr>
          <w:jc w:val="center"/>
        </w:trPr>
        <w:tc>
          <w:tcPr>
            <w:tcW w:w="1697" w:type="dxa"/>
          </w:tcPr>
          <w:p w14:paraId="38035856"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Mothers Participation</w:t>
            </w:r>
          </w:p>
        </w:tc>
        <w:tc>
          <w:tcPr>
            <w:tcW w:w="1500" w:type="dxa"/>
          </w:tcPr>
          <w:p w14:paraId="7360B587"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97%</w:t>
            </w:r>
          </w:p>
        </w:tc>
        <w:tc>
          <w:tcPr>
            <w:tcW w:w="1500" w:type="dxa"/>
          </w:tcPr>
          <w:p w14:paraId="6020F786"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91%</w:t>
            </w:r>
          </w:p>
        </w:tc>
        <w:tc>
          <w:tcPr>
            <w:tcW w:w="1500" w:type="dxa"/>
          </w:tcPr>
          <w:p w14:paraId="6BC4B6B4"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97%</w:t>
            </w:r>
          </w:p>
        </w:tc>
        <w:tc>
          <w:tcPr>
            <w:tcW w:w="1500" w:type="dxa"/>
          </w:tcPr>
          <w:p w14:paraId="74A20E39"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94%</w:t>
            </w:r>
          </w:p>
        </w:tc>
        <w:tc>
          <w:tcPr>
            <w:tcW w:w="1319" w:type="dxa"/>
          </w:tcPr>
          <w:p w14:paraId="0808A436"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95%</w:t>
            </w:r>
          </w:p>
        </w:tc>
      </w:tr>
      <w:tr w:rsidR="00AF34D5" w:rsidRPr="000601DB" w14:paraId="6644BAFC" w14:textId="77777777" w:rsidTr="00572BB4">
        <w:trPr>
          <w:jc w:val="center"/>
        </w:trPr>
        <w:tc>
          <w:tcPr>
            <w:tcW w:w="1697" w:type="dxa"/>
          </w:tcPr>
          <w:p w14:paraId="125AFBE1"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Fathers       attendance</w:t>
            </w:r>
          </w:p>
        </w:tc>
        <w:tc>
          <w:tcPr>
            <w:tcW w:w="1500" w:type="dxa"/>
          </w:tcPr>
          <w:p w14:paraId="477D9AF7"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59%</w:t>
            </w:r>
          </w:p>
        </w:tc>
        <w:tc>
          <w:tcPr>
            <w:tcW w:w="1500" w:type="dxa"/>
          </w:tcPr>
          <w:p w14:paraId="38AEC05C"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48%</w:t>
            </w:r>
          </w:p>
        </w:tc>
        <w:tc>
          <w:tcPr>
            <w:tcW w:w="1500" w:type="dxa"/>
          </w:tcPr>
          <w:p w14:paraId="23165FF7"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52%</w:t>
            </w:r>
          </w:p>
        </w:tc>
        <w:tc>
          <w:tcPr>
            <w:tcW w:w="1500" w:type="dxa"/>
          </w:tcPr>
          <w:p w14:paraId="2C6C58B4"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43%</w:t>
            </w:r>
          </w:p>
        </w:tc>
        <w:tc>
          <w:tcPr>
            <w:tcW w:w="1319" w:type="dxa"/>
          </w:tcPr>
          <w:p w14:paraId="5393C04A"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49%</w:t>
            </w:r>
          </w:p>
        </w:tc>
      </w:tr>
      <w:tr w:rsidR="00AF34D5" w:rsidRPr="000601DB" w14:paraId="2640FCC9" w14:textId="77777777" w:rsidTr="00572BB4">
        <w:trPr>
          <w:jc w:val="center"/>
        </w:trPr>
        <w:tc>
          <w:tcPr>
            <w:tcW w:w="1697" w:type="dxa"/>
          </w:tcPr>
          <w:p w14:paraId="75C64929" w14:textId="77777777" w:rsidR="00AF34D5" w:rsidRPr="000601DB" w:rsidRDefault="00AF34D5" w:rsidP="00572BB4">
            <w:pPr>
              <w:ind w:right="-510"/>
              <w:rPr>
                <w:rFonts w:eastAsia="Times New Roman" w:cstheme="minorHAnsi"/>
                <w:bCs/>
                <w:sz w:val="26"/>
                <w:szCs w:val="26"/>
              </w:rPr>
            </w:pPr>
            <w:r w:rsidRPr="000601DB">
              <w:rPr>
                <w:rFonts w:eastAsia="Times New Roman" w:cstheme="minorHAnsi"/>
                <w:bCs/>
                <w:sz w:val="26"/>
                <w:szCs w:val="26"/>
              </w:rPr>
              <w:t xml:space="preserve">Fathers   Participation </w:t>
            </w:r>
          </w:p>
        </w:tc>
        <w:tc>
          <w:tcPr>
            <w:tcW w:w="1500" w:type="dxa"/>
          </w:tcPr>
          <w:p w14:paraId="52F18E26"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76%</w:t>
            </w:r>
          </w:p>
        </w:tc>
        <w:tc>
          <w:tcPr>
            <w:tcW w:w="1500" w:type="dxa"/>
          </w:tcPr>
          <w:p w14:paraId="17E72325"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65%</w:t>
            </w:r>
          </w:p>
        </w:tc>
        <w:tc>
          <w:tcPr>
            <w:tcW w:w="1500" w:type="dxa"/>
          </w:tcPr>
          <w:p w14:paraId="193C0608"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61%</w:t>
            </w:r>
          </w:p>
        </w:tc>
        <w:tc>
          <w:tcPr>
            <w:tcW w:w="1500" w:type="dxa"/>
          </w:tcPr>
          <w:p w14:paraId="2EC00E3D"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58%</w:t>
            </w:r>
          </w:p>
        </w:tc>
        <w:tc>
          <w:tcPr>
            <w:tcW w:w="1319" w:type="dxa"/>
          </w:tcPr>
          <w:p w14:paraId="18EF0FE1" w14:textId="77777777" w:rsidR="00AF34D5" w:rsidRPr="000601DB" w:rsidRDefault="00AF34D5" w:rsidP="00572BB4">
            <w:pPr>
              <w:ind w:right="-510"/>
              <w:rPr>
                <w:rFonts w:eastAsia="Times New Roman" w:cstheme="minorHAnsi"/>
                <w:bCs/>
                <w:sz w:val="26"/>
                <w:szCs w:val="26"/>
              </w:rPr>
            </w:pPr>
            <w:r>
              <w:rPr>
                <w:rFonts w:eastAsia="Times New Roman" w:cstheme="minorHAnsi"/>
                <w:bCs/>
                <w:sz w:val="26"/>
                <w:szCs w:val="26"/>
              </w:rPr>
              <w:t>63%</w:t>
            </w:r>
          </w:p>
        </w:tc>
      </w:tr>
    </w:tbl>
    <w:p w14:paraId="0C5AAAA3" w14:textId="77777777" w:rsidR="00AF34D5" w:rsidRDefault="00AF34D5" w:rsidP="00AF34D5"/>
    <w:p w14:paraId="4D14311F" w14:textId="59882799" w:rsidR="00BB5D32" w:rsidRDefault="00A936D8" w:rsidP="00BB5D32">
      <w:pPr>
        <w:pStyle w:val="Heading2"/>
      </w:pPr>
      <w:r>
        <w:t>Quality Assurance</w:t>
      </w:r>
    </w:p>
    <w:p w14:paraId="7F8B3D19" w14:textId="77777777" w:rsidR="008B3BD5" w:rsidRPr="006B5E99" w:rsidRDefault="008B3BD5" w:rsidP="00572BB4">
      <w:pPr>
        <w:spacing w:line="240" w:lineRule="auto"/>
        <w:ind w:right="-510"/>
        <w:rPr>
          <w:rFonts w:hAnsi="Calibri"/>
          <w:color w:val="000000" w:themeColor="text1"/>
          <w:kern w:val="24"/>
          <w:sz w:val="32"/>
          <w:szCs w:val="32"/>
        </w:rPr>
      </w:pPr>
      <w:r w:rsidRPr="006B5E99">
        <w:rPr>
          <w:rFonts w:hAnsi="Calibri"/>
          <w:color w:val="000000" w:themeColor="text1"/>
          <w:kern w:val="24"/>
          <w:sz w:val="32"/>
          <w:szCs w:val="32"/>
        </w:rPr>
        <w:t>Monitoring</w:t>
      </w:r>
    </w:p>
    <w:p w14:paraId="1BB3F0AE" w14:textId="77777777" w:rsidR="008B3BD5" w:rsidRDefault="008B3BD5" w:rsidP="00572BB4">
      <w:pPr>
        <w:spacing w:line="240" w:lineRule="auto"/>
        <w:ind w:right="-510"/>
        <w:rPr>
          <w:rFonts w:eastAsia="Times New Roman" w:cstheme="minorHAnsi"/>
          <w:bCs/>
          <w:sz w:val="26"/>
          <w:szCs w:val="26"/>
        </w:rPr>
      </w:pPr>
      <w:r>
        <w:rPr>
          <w:rFonts w:eastAsia="Times New Roman" w:cstheme="minorHAnsi"/>
          <w:bCs/>
          <w:sz w:val="26"/>
          <w:szCs w:val="26"/>
        </w:rPr>
        <w:t xml:space="preserve">It is the responsibility of the Independent Chair to complete a monitoring form following all conferences. This captures qualitative information which is reported to Performance Management Meetings on a quarterly basis. Chairs will take it in turns to complete quarterly reports, analyse the data and share findings with colleagues. </w:t>
      </w:r>
    </w:p>
    <w:p w14:paraId="6124FBC8" w14:textId="77777777" w:rsidR="008B3BD5" w:rsidRDefault="008B3BD5" w:rsidP="00572BB4">
      <w:pPr>
        <w:rPr>
          <w:rFonts w:hAnsi="Calibri"/>
          <w:color w:val="000000" w:themeColor="text1"/>
          <w:kern w:val="24"/>
          <w:sz w:val="32"/>
          <w:szCs w:val="32"/>
        </w:rPr>
      </w:pPr>
    </w:p>
    <w:p w14:paraId="62DC06D0" w14:textId="77777777" w:rsidR="008B3BD5" w:rsidRPr="006B5E99" w:rsidRDefault="008B3BD5" w:rsidP="00572BB4">
      <w:pPr>
        <w:rPr>
          <w:rFonts w:hAnsi="Calibri"/>
          <w:color w:val="000000" w:themeColor="text1"/>
          <w:kern w:val="24"/>
          <w:sz w:val="32"/>
          <w:szCs w:val="32"/>
        </w:rPr>
      </w:pPr>
      <w:r w:rsidRPr="006B5E99">
        <w:rPr>
          <w:rFonts w:hAnsi="Calibri"/>
          <w:color w:val="000000" w:themeColor="text1"/>
          <w:kern w:val="24"/>
          <w:sz w:val="32"/>
          <w:szCs w:val="32"/>
        </w:rPr>
        <w:t xml:space="preserve">Service User Feedback </w:t>
      </w:r>
    </w:p>
    <w:p w14:paraId="2DFE4DA1" w14:textId="77777777" w:rsidR="008B3BD5" w:rsidRDefault="008B3BD5" w:rsidP="00572BB4">
      <w:pPr>
        <w:spacing w:line="240" w:lineRule="auto"/>
        <w:ind w:right="-510"/>
        <w:rPr>
          <w:rFonts w:eastAsia="Times New Roman" w:cstheme="minorHAnsi"/>
          <w:bCs/>
          <w:sz w:val="26"/>
          <w:szCs w:val="26"/>
        </w:rPr>
      </w:pPr>
      <w:r>
        <w:rPr>
          <w:rFonts w:eastAsia="Times New Roman" w:cstheme="minorHAnsi"/>
          <w:bCs/>
          <w:sz w:val="26"/>
          <w:szCs w:val="26"/>
        </w:rPr>
        <w:t>Feedback is requested from families and professionals after each conference. A link is sent to each of them which allows them to score and comment.</w:t>
      </w:r>
    </w:p>
    <w:p w14:paraId="0FF4DAD4" w14:textId="77777777" w:rsidR="008B3BD5" w:rsidRDefault="008B3BD5" w:rsidP="00572BB4">
      <w:pPr>
        <w:rPr>
          <w:rFonts w:eastAsia="Times New Roman" w:cstheme="minorHAnsi"/>
          <w:bCs/>
          <w:sz w:val="26"/>
          <w:szCs w:val="26"/>
        </w:rPr>
      </w:pPr>
      <w:r>
        <w:rPr>
          <w:rFonts w:eastAsia="Times New Roman" w:cstheme="minorHAnsi"/>
          <w:bCs/>
          <w:sz w:val="26"/>
          <w:szCs w:val="26"/>
        </w:rPr>
        <w:t>Below is a selection of comments from 2021-22</w:t>
      </w:r>
    </w:p>
    <w:p w14:paraId="3F7BB97A"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“Very good conference chair who made everything clear and comprehensive for professionals and the family”.</w:t>
      </w:r>
    </w:p>
    <w:p w14:paraId="08875B95"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lastRenderedPageBreak/>
        <w:t>“Good clear plan”.</w:t>
      </w:r>
    </w:p>
    <w:p w14:paraId="4BD129F0"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“She gave time to family when they required and was conscious of the room getting hot for them and opened windows etc and took care of their needs accordingly”.</w:t>
      </w:r>
    </w:p>
    <w:p w14:paraId="3242A89E"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“I was covering and had never met the family, so I had not shared my report”.</w:t>
      </w:r>
    </w:p>
    <w:p w14:paraId="424B735D"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“Young person was made to feel relaxed, welcome and in control of their meeting”.</w:t>
      </w:r>
    </w:p>
    <w:p w14:paraId="639598F0"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“The social worker we have been working with on in this case with has been brilliant.  She is so efficient and always responds to email concerns or queries.  The core group has been invaluable for keeping school up to date and because of this we have been able to support the children much better as we are armed with all of the information about how home life has been”.</w:t>
      </w:r>
    </w:p>
    <w:p w14:paraId="7D192D70"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“The meeting was clear and well structured, and the addition of BSL interpreters meant everyone was included despite it being on Teams”.</w:t>
      </w:r>
    </w:p>
    <w:p w14:paraId="49F1245D"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“I wasn’t asked for an update by the chair or referenced at all in the meeting. I also wasn’t invited to give a score on the danger statement. I had to make the chair aware of this”.</w:t>
      </w:r>
    </w:p>
    <w:p w14:paraId="430CD53B"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 xml:space="preserve">“I feel that this is a difficult case as it is being managed by two different social workers due to the children”. </w:t>
      </w:r>
    </w:p>
    <w:p w14:paraId="5E5D2348"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“The Family have worked well throughout and I’m pleased that this has now shown to all professionals”.</w:t>
      </w:r>
    </w:p>
    <w:p w14:paraId="361F5BBF"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 xml:space="preserve">“Everyone in the meeting had opportunity to share their views and scale the risks”. </w:t>
      </w:r>
    </w:p>
    <w:p w14:paraId="6C0F7903"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 xml:space="preserve">“The CP Plan fully reflect all siblings’ current needs”. </w:t>
      </w:r>
    </w:p>
    <w:p w14:paraId="28A264FF"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“Thanks to the chair for the great work”!</w:t>
      </w:r>
    </w:p>
    <w:p w14:paraId="79095CAE" w14:textId="77777777" w:rsidR="008B3BD5" w:rsidRPr="000D26FD" w:rsidRDefault="008B3BD5" w:rsidP="00572BB4">
      <w:pPr>
        <w:spacing w:line="240" w:lineRule="auto"/>
        <w:ind w:right="-510"/>
        <w:rPr>
          <w:rFonts w:ascii="Dreaming Outloud Pro" w:hAnsi="Dreaming Outloud Pro" w:cs="Dreaming Outloud Pro"/>
          <w:szCs w:val="24"/>
        </w:rPr>
      </w:pPr>
      <w:r w:rsidRPr="000D26FD">
        <w:rPr>
          <w:rFonts w:ascii="Dreaming Outloud Pro" w:hAnsi="Dreaming Outloud Pro" w:cs="Dreaming Outloud Pro"/>
          <w:szCs w:val="24"/>
        </w:rPr>
        <w:t>“We liked the focus on the parents and their views at the start of the meeting. They are the most crucial people”.</w:t>
      </w:r>
    </w:p>
    <w:p w14:paraId="77357B70" w14:textId="77777777" w:rsidR="008B3BD5" w:rsidRPr="000D26FD" w:rsidRDefault="008B3BD5" w:rsidP="00572BB4">
      <w:pPr>
        <w:rPr>
          <w:rFonts w:ascii="Dreaming Outloud Pro" w:hAnsi="Dreaming Outloud Pro" w:cs="Dreaming Outloud Pro"/>
          <w:szCs w:val="24"/>
        </w:rPr>
      </w:pPr>
      <w:r w:rsidRPr="000D26FD">
        <w:rPr>
          <w:rFonts w:ascii="Dreaming Outloud Pro" w:hAnsi="Dreaming Outloud Pro" w:cs="Dreaming Outloud Pro"/>
          <w:szCs w:val="24"/>
        </w:rPr>
        <w:t>“It was difficult to hear clearly at times”.</w:t>
      </w:r>
    </w:p>
    <w:p w14:paraId="59CD7E2F" w14:textId="77777777" w:rsidR="008B3BD5" w:rsidRPr="000D26FD" w:rsidRDefault="008B3BD5" w:rsidP="00572BB4">
      <w:pPr>
        <w:spacing w:line="240" w:lineRule="auto"/>
        <w:ind w:right="-510"/>
        <w:rPr>
          <w:rFonts w:ascii="Dreaming Outloud Pro" w:eastAsia="Times New Roman" w:hAnsi="Dreaming Outloud Pro" w:cs="Dreaming Outloud Pro"/>
          <w:bCs/>
          <w:szCs w:val="24"/>
        </w:rPr>
      </w:pPr>
      <w:r w:rsidRPr="000D26FD">
        <w:rPr>
          <w:rFonts w:ascii="Dreaming Outloud Pro" w:hAnsi="Dreaming Outloud Pro" w:cs="Dreaming Outloud Pro"/>
          <w:szCs w:val="24"/>
        </w:rPr>
        <w:t>“A much better system than the bridging conference calls previously used, thank you”.</w:t>
      </w:r>
    </w:p>
    <w:p w14:paraId="1FE4A194" w14:textId="77777777" w:rsidR="008B3BD5" w:rsidRDefault="008B3BD5" w:rsidP="00572BB4">
      <w:pPr>
        <w:spacing w:line="240" w:lineRule="auto"/>
        <w:ind w:right="-510"/>
        <w:rPr>
          <w:rFonts w:hAnsi="Calibri"/>
          <w:b/>
          <w:bCs/>
          <w:color w:val="008080"/>
          <w:kern w:val="24"/>
          <w:sz w:val="32"/>
          <w:szCs w:val="32"/>
        </w:rPr>
      </w:pPr>
    </w:p>
    <w:p w14:paraId="1AAD4F8D" w14:textId="263AB5AD" w:rsidR="00BB5D32" w:rsidRDefault="00F63203" w:rsidP="008B3BD5">
      <w:pPr>
        <w:pStyle w:val="Heading2"/>
      </w:pPr>
      <w:r>
        <w:t>Summary</w:t>
      </w:r>
    </w:p>
    <w:p w14:paraId="38E3FA41" w14:textId="77777777" w:rsidR="001804D9" w:rsidRPr="006B5E99" w:rsidRDefault="001804D9" w:rsidP="00A81821">
      <w:pPr>
        <w:pStyle w:val="Heading3"/>
        <w:rPr>
          <w:rFonts w:eastAsiaTheme="minorEastAsia"/>
        </w:rPr>
      </w:pPr>
      <w:r w:rsidRPr="006B5E99">
        <w:rPr>
          <w:rFonts w:eastAsiaTheme="minorEastAsia"/>
        </w:rPr>
        <w:t>What has worked well?</w:t>
      </w:r>
    </w:p>
    <w:p w14:paraId="1D0452E7"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sidRPr="008054DB">
        <w:rPr>
          <w:rFonts w:eastAsia="Times New Roman" w:cstheme="minorHAnsi"/>
          <w:bCs/>
          <w:sz w:val="26"/>
          <w:szCs w:val="26"/>
        </w:rPr>
        <w:t>Conferences have continued to take place on Teams with a move to hybrid conferences towards the end of the period.</w:t>
      </w:r>
    </w:p>
    <w:p w14:paraId="49ED1FBD" w14:textId="77777777" w:rsidR="001804D9" w:rsidRPr="008054DB"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 xml:space="preserve">A permanent location for conferences with a waiting area and tea and coffee facilities has been established and this will allow us to take care of families and offer reassurance. </w:t>
      </w:r>
    </w:p>
    <w:p w14:paraId="28E77BDD"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sidRPr="008054DB">
        <w:rPr>
          <w:rFonts w:eastAsia="Times New Roman" w:cstheme="minorHAnsi"/>
          <w:bCs/>
          <w:sz w:val="26"/>
          <w:szCs w:val="26"/>
        </w:rPr>
        <w:t xml:space="preserve">This is a generally stable team. During the period two colleagues have joined the team, bringing with them a wealth of experience from other parts of the service which has been very positive. </w:t>
      </w:r>
    </w:p>
    <w:p w14:paraId="53879DD5" w14:textId="77777777" w:rsidR="001804D9" w:rsidRPr="00263F21" w:rsidRDefault="001804D9" w:rsidP="001804D9">
      <w:pPr>
        <w:pStyle w:val="ListParagraph"/>
        <w:numPr>
          <w:ilvl w:val="0"/>
          <w:numId w:val="29"/>
        </w:numPr>
        <w:spacing w:after="200" w:line="240" w:lineRule="auto"/>
        <w:ind w:right="-510"/>
        <w:rPr>
          <w:rFonts w:eastAsia="Times New Roman" w:cstheme="minorHAnsi"/>
          <w:bCs/>
          <w:sz w:val="26"/>
          <w:szCs w:val="26"/>
        </w:rPr>
      </w:pPr>
      <w:r w:rsidRPr="00C13D2D">
        <w:rPr>
          <w:rFonts w:hAnsi="Calibri"/>
          <w:color w:val="000000" w:themeColor="text1"/>
          <w:kern w:val="24"/>
          <w:sz w:val="26"/>
          <w:szCs w:val="26"/>
        </w:rPr>
        <w:lastRenderedPageBreak/>
        <w:t>Chairs have continued to try and liaise with families in advance of conference to help prepare them for the meeting.</w:t>
      </w:r>
    </w:p>
    <w:p w14:paraId="14BED856" w14:textId="77777777" w:rsidR="001804D9" w:rsidRPr="00AE60F7" w:rsidRDefault="001804D9" w:rsidP="001804D9">
      <w:pPr>
        <w:pStyle w:val="ListParagraph"/>
        <w:numPr>
          <w:ilvl w:val="0"/>
          <w:numId w:val="29"/>
        </w:numPr>
        <w:spacing w:after="200" w:line="240" w:lineRule="auto"/>
        <w:ind w:right="-510"/>
        <w:rPr>
          <w:rFonts w:eastAsia="Times New Roman" w:cstheme="minorHAnsi"/>
          <w:bCs/>
          <w:sz w:val="26"/>
          <w:szCs w:val="26"/>
        </w:rPr>
      </w:pPr>
      <w:r w:rsidRPr="00C13D2D">
        <w:rPr>
          <w:rFonts w:hAnsi="Calibri"/>
          <w:color w:val="000000" w:themeColor="text1"/>
          <w:kern w:val="24"/>
          <w:sz w:val="26"/>
          <w:szCs w:val="26"/>
        </w:rPr>
        <w:t>Chairs continue to provide a valuable service in offering objective, expert consultations to Social Workers and other professionals in relation to identifying and managing risk</w:t>
      </w:r>
      <w:r>
        <w:rPr>
          <w:rFonts w:hAnsi="Calibri"/>
          <w:color w:val="000000" w:themeColor="text1"/>
          <w:kern w:val="24"/>
          <w:sz w:val="26"/>
          <w:szCs w:val="26"/>
        </w:rPr>
        <w:t>.</w:t>
      </w:r>
    </w:p>
    <w:p w14:paraId="787E1A8E" w14:textId="77777777" w:rsidR="001804D9" w:rsidRPr="00AE60F7" w:rsidRDefault="001804D9" w:rsidP="001804D9">
      <w:pPr>
        <w:pStyle w:val="ListParagraph"/>
        <w:numPr>
          <w:ilvl w:val="0"/>
          <w:numId w:val="29"/>
        </w:numPr>
        <w:spacing w:after="200" w:line="240" w:lineRule="auto"/>
        <w:ind w:right="-510"/>
        <w:rPr>
          <w:rFonts w:eastAsia="Times New Roman" w:cstheme="minorHAnsi"/>
          <w:bCs/>
          <w:sz w:val="26"/>
          <w:szCs w:val="26"/>
        </w:rPr>
      </w:pPr>
      <w:r w:rsidRPr="00C13D2D">
        <w:rPr>
          <w:rFonts w:hAnsi="Calibri"/>
          <w:color w:val="000000" w:themeColor="text1"/>
          <w:kern w:val="24"/>
          <w:sz w:val="26"/>
          <w:szCs w:val="26"/>
        </w:rPr>
        <w:t>Independent Chairs are pivotal in the overview of the service in a scrutiny role to ensure the quality, safety and effectiveness of safeguarding practice and policy</w:t>
      </w:r>
      <w:r>
        <w:rPr>
          <w:rFonts w:hAnsi="Calibri"/>
          <w:color w:val="000000" w:themeColor="text1"/>
          <w:kern w:val="24"/>
          <w:sz w:val="26"/>
          <w:szCs w:val="26"/>
        </w:rPr>
        <w:t>.</w:t>
      </w:r>
    </w:p>
    <w:p w14:paraId="18CDA616"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hAnsi="Calibri"/>
          <w:color w:val="000000" w:themeColor="text1"/>
          <w:kern w:val="24"/>
          <w:sz w:val="26"/>
          <w:szCs w:val="26"/>
        </w:rPr>
        <w:t>Chairs continue to use Signs of Safety to good effect. This includes ‘mappings’ in conference.</w:t>
      </w:r>
    </w:p>
    <w:p w14:paraId="24694E12"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 xml:space="preserve">Feedback, where available, has been largely positive. </w:t>
      </w:r>
    </w:p>
    <w:p w14:paraId="76E4C53A"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 xml:space="preserve">The percentage of cases progressing to conference from consultation has remained remarkably consistent. </w:t>
      </w:r>
    </w:p>
    <w:p w14:paraId="416F4738"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The service has continued to monitor cases progressing to PLO to ensure that there has been suitable oversight from an Independent Chair.</w:t>
      </w:r>
    </w:p>
    <w:p w14:paraId="650C00A4"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The number of Child Protection Plans in Milton Keynes remains consistently below national average.</w:t>
      </w:r>
    </w:p>
    <w:p w14:paraId="1881707E"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 xml:space="preserve">Despite the increased number of meetings the number of child protection plans at the end of the year has remained almost the same which would support the notion that there is good throughput of cases. </w:t>
      </w:r>
    </w:p>
    <w:p w14:paraId="38C54E3E"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The majority of cases step down to CIN plans.</w:t>
      </w:r>
    </w:p>
    <w:p w14:paraId="04576A68" w14:textId="77777777" w:rsidR="001804D9"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There has been a slight reduction in cases returning to CP within 2 years.</w:t>
      </w:r>
    </w:p>
    <w:p w14:paraId="2899CF01" w14:textId="77777777" w:rsidR="001804D9" w:rsidRPr="00574D8A"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Monthly meetings between the Team Manager for Safeguarding and the Head of Family Support Services are an effective way of addressing drift and delay.</w:t>
      </w:r>
    </w:p>
    <w:p w14:paraId="2FA72E2F" w14:textId="77777777" w:rsidR="001804D9" w:rsidRPr="008054DB" w:rsidRDefault="001804D9" w:rsidP="001804D9">
      <w:pPr>
        <w:pStyle w:val="ListParagraph"/>
        <w:numPr>
          <w:ilvl w:val="0"/>
          <w:numId w:val="29"/>
        </w:numPr>
        <w:spacing w:after="200" w:line="240" w:lineRule="auto"/>
        <w:ind w:right="-510"/>
        <w:rPr>
          <w:rFonts w:eastAsia="Times New Roman" w:cstheme="minorHAnsi"/>
          <w:bCs/>
          <w:sz w:val="26"/>
          <w:szCs w:val="26"/>
        </w:rPr>
      </w:pPr>
      <w:r>
        <w:rPr>
          <w:rFonts w:eastAsia="Times New Roman" w:cstheme="minorHAnsi"/>
          <w:bCs/>
          <w:sz w:val="26"/>
          <w:szCs w:val="26"/>
        </w:rPr>
        <w:t>There is regular communication with the advocacy service.</w:t>
      </w:r>
    </w:p>
    <w:p w14:paraId="3BA38C3A" w14:textId="77777777" w:rsidR="001804D9" w:rsidRPr="006B5E99" w:rsidRDefault="001804D9" w:rsidP="00A81821">
      <w:pPr>
        <w:pStyle w:val="Heading3"/>
        <w:rPr>
          <w:rFonts w:eastAsiaTheme="minorEastAsia"/>
        </w:rPr>
      </w:pPr>
      <w:r w:rsidRPr="006B5E99">
        <w:rPr>
          <w:rFonts w:eastAsiaTheme="minorEastAsia"/>
        </w:rPr>
        <w:t>What are we worried about?</w:t>
      </w:r>
    </w:p>
    <w:p w14:paraId="0C476E08" w14:textId="77777777" w:rsidR="001804D9" w:rsidRPr="008054DB" w:rsidRDefault="001804D9" w:rsidP="001804D9">
      <w:pPr>
        <w:pStyle w:val="ListParagraph"/>
        <w:numPr>
          <w:ilvl w:val="0"/>
          <w:numId w:val="30"/>
        </w:numPr>
        <w:spacing w:after="200" w:line="240" w:lineRule="auto"/>
        <w:ind w:right="-510"/>
        <w:rPr>
          <w:rFonts w:eastAsia="Times New Roman" w:cstheme="minorHAnsi"/>
          <w:bCs/>
          <w:sz w:val="26"/>
          <w:szCs w:val="26"/>
        </w:rPr>
      </w:pPr>
      <w:r w:rsidRPr="008054DB">
        <w:rPr>
          <w:rFonts w:eastAsia="Times New Roman" w:cstheme="minorHAnsi"/>
          <w:bCs/>
          <w:sz w:val="26"/>
          <w:szCs w:val="26"/>
        </w:rPr>
        <w:t>Although Feedback has been received, the majority is from other professionals.</w:t>
      </w:r>
      <w:r>
        <w:rPr>
          <w:rFonts w:eastAsia="Times New Roman" w:cstheme="minorHAnsi"/>
          <w:bCs/>
          <w:sz w:val="26"/>
          <w:szCs w:val="26"/>
        </w:rPr>
        <w:t xml:space="preserve"> There is a challenge in relation to obtaining feedback from families and young people. </w:t>
      </w:r>
    </w:p>
    <w:p w14:paraId="2B54DE08" w14:textId="77777777" w:rsidR="001804D9" w:rsidRPr="008054DB" w:rsidRDefault="001804D9" w:rsidP="001804D9">
      <w:pPr>
        <w:pStyle w:val="ListParagraph"/>
        <w:numPr>
          <w:ilvl w:val="0"/>
          <w:numId w:val="30"/>
        </w:numPr>
        <w:spacing w:after="200" w:line="240" w:lineRule="auto"/>
        <w:ind w:right="-510"/>
        <w:rPr>
          <w:rFonts w:eastAsia="Times New Roman" w:cstheme="minorHAnsi"/>
          <w:bCs/>
          <w:sz w:val="26"/>
          <w:szCs w:val="26"/>
        </w:rPr>
      </w:pPr>
      <w:r w:rsidRPr="008054DB">
        <w:rPr>
          <w:rFonts w:eastAsia="Times New Roman" w:cstheme="minorHAnsi"/>
          <w:bCs/>
          <w:sz w:val="26"/>
          <w:szCs w:val="26"/>
        </w:rPr>
        <w:t>The number of meetings taken place has risen significantly for another year.</w:t>
      </w:r>
    </w:p>
    <w:p w14:paraId="71D6AA6D" w14:textId="77777777" w:rsidR="001804D9" w:rsidRDefault="001804D9" w:rsidP="001804D9">
      <w:pPr>
        <w:pStyle w:val="ListParagraph"/>
        <w:numPr>
          <w:ilvl w:val="0"/>
          <w:numId w:val="30"/>
        </w:numPr>
        <w:spacing w:after="200" w:line="240" w:lineRule="auto"/>
        <w:ind w:right="-510"/>
        <w:rPr>
          <w:rFonts w:eastAsia="Times New Roman" w:cstheme="minorHAnsi"/>
          <w:bCs/>
          <w:sz w:val="26"/>
          <w:szCs w:val="26"/>
        </w:rPr>
      </w:pPr>
      <w:r w:rsidRPr="008054DB">
        <w:rPr>
          <w:rFonts w:eastAsia="Times New Roman" w:cstheme="minorHAnsi"/>
          <w:bCs/>
          <w:sz w:val="26"/>
          <w:szCs w:val="26"/>
        </w:rPr>
        <w:t>Issues with Business Support colleagues and recruitment of skilled minute takers have impacted on the distribution</w:t>
      </w:r>
      <w:r>
        <w:rPr>
          <w:rFonts w:eastAsia="Times New Roman" w:cstheme="minorHAnsi"/>
          <w:bCs/>
          <w:sz w:val="26"/>
          <w:szCs w:val="26"/>
        </w:rPr>
        <w:t xml:space="preserve"> figures. </w:t>
      </w:r>
    </w:p>
    <w:p w14:paraId="5355096A" w14:textId="77777777" w:rsidR="001804D9" w:rsidRDefault="001804D9" w:rsidP="001804D9">
      <w:pPr>
        <w:pStyle w:val="ListParagraph"/>
        <w:numPr>
          <w:ilvl w:val="0"/>
          <w:numId w:val="30"/>
        </w:numPr>
        <w:spacing w:after="200" w:line="240" w:lineRule="auto"/>
        <w:ind w:right="-510"/>
        <w:rPr>
          <w:rFonts w:eastAsia="Times New Roman" w:cstheme="minorHAnsi"/>
          <w:bCs/>
          <w:sz w:val="26"/>
          <w:szCs w:val="26"/>
        </w:rPr>
      </w:pPr>
      <w:r>
        <w:rPr>
          <w:rFonts w:eastAsia="Times New Roman" w:cstheme="minorHAnsi"/>
          <w:bCs/>
          <w:sz w:val="26"/>
          <w:szCs w:val="26"/>
        </w:rPr>
        <w:t>There has been a reduction in ICPCs held in timescales.</w:t>
      </w:r>
    </w:p>
    <w:p w14:paraId="0056FE0E" w14:textId="77777777" w:rsidR="001804D9" w:rsidRDefault="001804D9" w:rsidP="001804D9">
      <w:pPr>
        <w:pStyle w:val="ListParagraph"/>
        <w:numPr>
          <w:ilvl w:val="0"/>
          <w:numId w:val="30"/>
        </w:numPr>
        <w:spacing w:after="200" w:line="240" w:lineRule="auto"/>
        <w:ind w:right="-510"/>
        <w:rPr>
          <w:rFonts w:eastAsia="Times New Roman" w:cstheme="minorHAnsi"/>
          <w:bCs/>
          <w:sz w:val="26"/>
          <w:szCs w:val="26"/>
        </w:rPr>
      </w:pPr>
      <w:r>
        <w:rPr>
          <w:rFonts w:eastAsia="Times New Roman" w:cstheme="minorHAnsi"/>
          <w:bCs/>
          <w:sz w:val="26"/>
          <w:szCs w:val="26"/>
        </w:rPr>
        <w:t xml:space="preserve">The category of neglect is higher than other areas and this requires monitoring and discussion. </w:t>
      </w:r>
    </w:p>
    <w:p w14:paraId="245D0AB2" w14:textId="77777777" w:rsidR="001804D9" w:rsidRDefault="001804D9" w:rsidP="001804D9">
      <w:pPr>
        <w:pStyle w:val="ListParagraph"/>
        <w:numPr>
          <w:ilvl w:val="0"/>
          <w:numId w:val="30"/>
        </w:numPr>
        <w:spacing w:after="200" w:line="240" w:lineRule="auto"/>
        <w:ind w:right="-510"/>
        <w:rPr>
          <w:rFonts w:eastAsia="Times New Roman" w:cstheme="minorHAnsi"/>
          <w:bCs/>
          <w:sz w:val="26"/>
          <w:szCs w:val="26"/>
        </w:rPr>
      </w:pPr>
      <w:r>
        <w:rPr>
          <w:rFonts w:eastAsia="Times New Roman" w:cstheme="minorHAnsi"/>
          <w:bCs/>
          <w:sz w:val="26"/>
          <w:szCs w:val="26"/>
        </w:rPr>
        <w:t>Childrens participation has reduced.</w:t>
      </w:r>
    </w:p>
    <w:p w14:paraId="20701D91" w14:textId="77777777" w:rsidR="001804D9" w:rsidRDefault="001804D9" w:rsidP="001804D9">
      <w:pPr>
        <w:pStyle w:val="ListParagraph"/>
        <w:numPr>
          <w:ilvl w:val="0"/>
          <w:numId w:val="30"/>
        </w:numPr>
        <w:spacing w:after="200" w:line="240" w:lineRule="auto"/>
        <w:ind w:right="-510"/>
        <w:rPr>
          <w:rFonts w:eastAsia="Times New Roman" w:cstheme="minorHAnsi"/>
          <w:bCs/>
          <w:sz w:val="26"/>
          <w:szCs w:val="26"/>
        </w:rPr>
      </w:pPr>
      <w:r>
        <w:rPr>
          <w:rFonts w:eastAsia="Times New Roman" w:cstheme="minorHAnsi"/>
          <w:bCs/>
          <w:sz w:val="26"/>
          <w:szCs w:val="26"/>
        </w:rPr>
        <w:t>One feedback said that they were not consulted or asked for scaling, this is a practice issue which needs to be explored.</w:t>
      </w:r>
    </w:p>
    <w:p w14:paraId="082B0FCF" w14:textId="77777777" w:rsidR="001804D9" w:rsidRPr="008054DB" w:rsidRDefault="001804D9" w:rsidP="001804D9">
      <w:pPr>
        <w:pStyle w:val="ListParagraph"/>
        <w:numPr>
          <w:ilvl w:val="0"/>
          <w:numId w:val="30"/>
        </w:numPr>
        <w:spacing w:after="200" w:line="240" w:lineRule="auto"/>
        <w:ind w:right="-510"/>
        <w:rPr>
          <w:rFonts w:eastAsia="Times New Roman" w:cstheme="minorHAnsi"/>
          <w:bCs/>
          <w:sz w:val="26"/>
          <w:szCs w:val="26"/>
        </w:rPr>
      </w:pPr>
      <w:r>
        <w:rPr>
          <w:rFonts w:eastAsia="Times New Roman" w:cstheme="minorHAnsi"/>
          <w:bCs/>
          <w:sz w:val="26"/>
          <w:szCs w:val="26"/>
        </w:rPr>
        <w:t xml:space="preserve">It is clear that there have been some ongoing issues with technology. </w:t>
      </w:r>
    </w:p>
    <w:p w14:paraId="19725E97" w14:textId="35585870" w:rsidR="00B5718E" w:rsidRDefault="00B5718E" w:rsidP="001804D9">
      <w:pPr>
        <w:pStyle w:val="Default"/>
        <w:rPr>
          <w:b/>
          <w:bCs/>
          <w:sz w:val="22"/>
          <w:szCs w:val="22"/>
        </w:rPr>
      </w:pPr>
    </w:p>
    <w:p w14:paraId="19458819" w14:textId="1B82DE88" w:rsidR="00A81821" w:rsidRDefault="00A81821" w:rsidP="001804D9">
      <w:pPr>
        <w:pStyle w:val="Default"/>
        <w:rPr>
          <w:b/>
          <w:bCs/>
          <w:sz w:val="22"/>
          <w:szCs w:val="22"/>
        </w:rPr>
      </w:pPr>
    </w:p>
    <w:p w14:paraId="069FCAC5" w14:textId="3B32A65B" w:rsidR="00A81821" w:rsidRDefault="00A81821" w:rsidP="001804D9">
      <w:pPr>
        <w:pStyle w:val="Default"/>
        <w:rPr>
          <w:b/>
          <w:bCs/>
          <w:sz w:val="22"/>
          <w:szCs w:val="22"/>
        </w:rPr>
      </w:pPr>
    </w:p>
    <w:p w14:paraId="2124D324" w14:textId="77777777" w:rsidR="00A81821" w:rsidRDefault="00A81821" w:rsidP="001804D9">
      <w:pPr>
        <w:pStyle w:val="Default"/>
        <w:rPr>
          <w:b/>
          <w:bCs/>
          <w:sz w:val="22"/>
          <w:szCs w:val="22"/>
        </w:rPr>
      </w:pPr>
    </w:p>
    <w:p w14:paraId="63CAB13E" w14:textId="77777777" w:rsidR="00A81821" w:rsidRPr="006B5E99" w:rsidRDefault="00A81821" w:rsidP="00A81821">
      <w:pPr>
        <w:pStyle w:val="Heading2"/>
        <w:rPr>
          <w:rFonts w:eastAsiaTheme="minorEastAsia"/>
        </w:rPr>
      </w:pPr>
      <w:r w:rsidRPr="006B5E99">
        <w:rPr>
          <w:rFonts w:eastAsiaTheme="minorEastAsia"/>
        </w:rPr>
        <w:lastRenderedPageBreak/>
        <w:t>OBJECTIVES FOR 2022/23</w:t>
      </w:r>
    </w:p>
    <w:p w14:paraId="71FE8836"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sidRPr="007F43D9">
        <w:rPr>
          <w:rFonts w:eastAsia="Times New Roman" w:cstheme="minorHAnsi"/>
          <w:bCs/>
          <w:sz w:val="26"/>
          <w:szCs w:val="26"/>
        </w:rPr>
        <w:t>Feedback</w:t>
      </w:r>
      <w:r>
        <w:rPr>
          <w:rFonts w:eastAsia="Times New Roman" w:cstheme="minorHAnsi"/>
          <w:bCs/>
          <w:sz w:val="26"/>
          <w:szCs w:val="26"/>
        </w:rPr>
        <w:t xml:space="preserve"> – the Safeguarding Team will look at more creative ways in which feedback can be sought from families and young people in particular.</w:t>
      </w:r>
    </w:p>
    <w:p w14:paraId="4CBC8703" w14:textId="5C15260E" w:rsidR="00A81821" w:rsidRPr="007F43D9"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Continue to scrutinise and discuss categories – Discussion will take place in Team Meetings, peer </w:t>
      </w:r>
      <w:r>
        <w:rPr>
          <w:rFonts w:eastAsia="Times New Roman" w:cstheme="minorHAnsi"/>
          <w:bCs/>
          <w:sz w:val="26"/>
          <w:szCs w:val="26"/>
        </w:rPr>
        <w:t>supervision</w:t>
      </w:r>
      <w:r>
        <w:rPr>
          <w:rFonts w:eastAsia="Times New Roman" w:cstheme="minorHAnsi"/>
          <w:bCs/>
          <w:sz w:val="26"/>
          <w:szCs w:val="26"/>
        </w:rPr>
        <w:t xml:space="preserve"> and individual supervision. </w:t>
      </w:r>
    </w:p>
    <w:p w14:paraId="7794609E"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sidRPr="007F43D9">
        <w:rPr>
          <w:rFonts w:eastAsia="Times New Roman" w:cstheme="minorHAnsi"/>
          <w:bCs/>
          <w:sz w:val="26"/>
          <w:szCs w:val="26"/>
        </w:rPr>
        <w:t>Writing to children</w:t>
      </w:r>
      <w:r>
        <w:rPr>
          <w:rFonts w:eastAsia="Times New Roman" w:cstheme="minorHAnsi"/>
          <w:bCs/>
          <w:sz w:val="26"/>
          <w:szCs w:val="26"/>
        </w:rPr>
        <w:t xml:space="preserve"> – there is a commitment to writing child protection minutes to children rather than about them. </w:t>
      </w:r>
    </w:p>
    <w:p w14:paraId="124B8822"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Business support recruitment – efforts will be made to ensure that the service is fully staffed. </w:t>
      </w:r>
    </w:p>
    <w:p w14:paraId="76B24834"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Ensure ICPCs held in timescales – Business Support colleagues and Chairs work closely with Social Work colleagues to ensure that meetings are held within timescales. This involves a creative approach given the pressure on the service. </w:t>
      </w:r>
    </w:p>
    <w:p w14:paraId="3088FA83"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Encourage participation – Chairs will continue to liaise closely with the advocacy services, Social Workers and families to encourage the participation of families and young people. </w:t>
      </w:r>
    </w:p>
    <w:p w14:paraId="11FF44BE"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Ensure all participants are invited to share information and scale – colleagues within Childrens Social Care and partner agencies are reminded of their joint responsibility in relation to child protection. </w:t>
      </w:r>
    </w:p>
    <w:p w14:paraId="08FCD5A3" w14:textId="77777777" w:rsidR="00A81821" w:rsidRDefault="00A81821" w:rsidP="00A81821">
      <w:pPr>
        <w:pStyle w:val="ListParagraph"/>
        <w:numPr>
          <w:ilvl w:val="0"/>
          <w:numId w:val="31"/>
        </w:numPr>
        <w:spacing w:after="200" w:line="240" w:lineRule="auto"/>
        <w:ind w:right="-510"/>
        <w:rPr>
          <w:rFonts w:eastAsia="Times New Roman" w:cstheme="minorHAnsi"/>
          <w:bCs/>
          <w:sz w:val="26"/>
          <w:szCs w:val="26"/>
        </w:rPr>
      </w:pPr>
      <w:r>
        <w:rPr>
          <w:rFonts w:eastAsia="Times New Roman" w:cstheme="minorHAnsi"/>
          <w:bCs/>
          <w:sz w:val="26"/>
          <w:szCs w:val="26"/>
        </w:rPr>
        <w:t xml:space="preserve">Ongoing work with technology – improvements will continue to be made.  </w:t>
      </w:r>
    </w:p>
    <w:p w14:paraId="16216BB4" w14:textId="77777777" w:rsidR="001804D9" w:rsidRDefault="001804D9" w:rsidP="001804D9">
      <w:pPr>
        <w:pStyle w:val="Default"/>
        <w:rPr>
          <w:b/>
          <w:bCs/>
          <w:sz w:val="22"/>
          <w:szCs w:val="22"/>
        </w:rPr>
      </w:pPr>
    </w:p>
    <w:sectPr w:rsidR="001804D9"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DAA"/>
    <w:multiLevelType w:val="hybridMultilevel"/>
    <w:tmpl w:val="0364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452F6"/>
    <w:multiLevelType w:val="hybridMultilevel"/>
    <w:tmpl w:val="EAEE662A"/>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1530"/>
    <w:multiLevelType w:val="hybridMultilevel"/>
    <w:tmpl w:val="909644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C0087"/>
    <w:multiLevelType w:val="hybridMultilevel"/>
    <w:tmpl w:val="6B38E41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40EDB"/>
    <w:multiLevelType w:val="hybridMultilevel"/>
    <w:tmpl w:val="2A242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F3C19"/>
    <w:multiLevelType w:val="hybridMultilevel"/>
    <w:tmpl w:val="10B6825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026DE"/>
    <w:multiLevelType w:val="hybridMultilevel"/>
    <w:tmpl w:val="72DCCF8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57AED"/>
    <w:multiLevelType w:val="hybridMultilevel"/>
    <w:tmpl w:val="29D2C18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01053"/>
    <w:multiLevelType w:val="hybridMultilevel"/>
    <w:tmpl w:val="D13C6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941FD"/>
    <w:multiLevelType w:val="hybridMultilevel"/>
    <w:tmpl w:val="FEB4F148"/>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D091C"/>
    <w:multiLevelType w:val="hybridMultilevel"/>
    <w:tmpl w:val="42D08C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E84C0B"/>
    <w:multiLevelType w:val="hybridMultilevel"/>
    <w:tmpl w:val="ED9E617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254801"/>
    <w:multiLevelType w:val="hybridMultilevel"/>
    <w:tmpl w:val="2AF0BF4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2F46AC"/>
    <w:multiLevelType w:val="hybridMultilevel"/>
    <w:tmpl w:val="0A0E22CA"/>
    <w:lvl w:ilvl="0" w:tplc="E45644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43C86"/>
    <w:multiLevelType w:val="hybridMultilevel"/>
    <w:tmpl w:val="53E6F00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DD11B8"/>
    <w:multiLevelType w:val="hybridMultilevel"/>
    <w:tmpl w:val="C616F3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AF7E4C"/>
    <w:multiLevelType w:val="hybridMultilevel"/>
    <w:tmpl w:val="F92467B6"/>
    <w:lvl w:ilvl="0" w:tplc="119E20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B0BB9"/>
    <w:multiLevelType w:val="hybridMultilevel"/>
    <w:tmpl w:val="D87E02C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26C72"/>
    <w:multiLevelType w:val="hybridMultilevel"/>
    <w:tmpl w:val="53DECA5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096382"/>
    <w:multiLevelType w:val="hybridMultilevel"/>
    <w:tmpl w:val="67A237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A03F30"/>
    <w:multiLevelType w:val="hybridMultilevel"/>
    <w:tmpl w:val="913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93765"/>
    <w:multiLevelType w:val="hybridMultilevel"/>
    <w:tmpl w:val="AC3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834C2"/>
    <w:multiLevelType w:val="hybridMultilevel"/>
    <w:tmpl w:val="7986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02D7C"/>
    <w:multiLevelType w:val="hybridMultilevel"/>
    <w:tmpl w:val="3F82BDDE"/>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103CCD"/>
    <w:multiLevelType w:val="hybridMultilevel"/>
    <w:tmpl w:val="E850D01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A82192"/>
    <w:multiLevelType w:val="hybridMultilevel"/>
    <w:tmpl w:val="2A7074B2"/>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A6C4C"/>
    <w:multiLevelType w:val="hybridMultilevel"/>
    <w:tmpl w:val="EA182C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056728"/>
    <w:multiLevelType w:val="hybridMultilevel"/>
    <w:tmpl w:val="80DE64E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562D4"/>
    <w:multiLevelType w:val="hybridMultilevel"/>
    <w:tmpl w:val="4B72C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E314B"/>
    <w:multiLevelType w:val="hybridMultilevel"/>
    <w:tmpl w:val="6926763C"/>
    <w:lvl w:ilvl="0" w:tplc="08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A0270B"/>
    <w:multiLevelType w:val="hybridMultilevel"/>
    <w:tmpl w:val="14AED602"/>
    <w:lvl w:ilvl="0" w:tplc="2CAC35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29"/>
  </w:num>
  <w:num w:numId="5">
    <w:abstractNumId w:val="7"/>
  </w:num>
  <w:num w:numId="6">
    <w:abstractNumId w:val="3"/>
  </w:num>
  <w:num w:numId="7">
    <w:abstractNumId w:val="25"/>
  </w:num>
  <w:num w:numId="8">
    <w:abstractNumId w:val="24"/>
  </w:num>
  <w:num w:numId="9">
    <w:abstractNumId w:val="6"/>
  </w:num>
  <w:num w:numId="10">
    <w:abstractNumId w:val="27"/>
  </w:num>
  <w:num w:numId="11">
    <w:abstractNumId w:val="5"/>
  </w:num>
  <w:num w:numId="12">
    <w:abstractNumId w:val="12"/>
  </w:num>
  <w:num w:numId="13">
    <w:abstractNumId w:val="2"/>
  </w:num>
  <w:num w:numId="14">
    <w:abstractNumId w:val="18"/>
  </w:num>
  <w:num w:numId="15">
    <w:abstractNumId w:val="11"/>
  </w:num>
  <w:num w:numId="16">
    <w:abstractNumId w:val="17"/>
  </w:num>
  <w:num w:numId="17">
    <w:abstractNumId w:val="19"/>
  </w:num>
  <w:num w:numId="18">
    <w:abstractNumId w:val="1"/>
  </w:num>
  <w:num w:numId="19">
    <w:abstractNumId w:val="0"/>
  </w:num>
  <w:num w:numId="20">
    <w:abstractNumId w:val="28"/>
  </w:num>
  <w:num w:numId="21">
    <w:abstractNumId w:val="16"/>
  </w:num>
  <w:num w:numId="22">
    <w:abstractNumId w:val="8"/>
  </w:num>
  <w:num w:numId="23">
    <w:abstractNumId w:val="13"/>
  </w:num>
  <w:num w:numId="24">
    <w:abstractNumId w:val="4"/>
  </w:num>
  <w:num w:numId="25">
    <w:abstractNumId w:val="30"/>
  </w:num>
  <w:num w:numId="26">
    <w:abstractNumId w:val="10"/>
  </w:num>
  <w:num w:numId="27">
    <w:abstractNumId w:val="26"/>
  </w:num>
  <w:num w:numId="28">
    <w:abstractNumId w:val="15"/>
  </w:num>
  <w:num w:numId="29">
    <w:abstractNumId w:val="22"/>
  </w:num>
  <w:num w:numId="30">
    <w:abstractNumId w:val="20"/>
  </w:num>
  <w:num w:numId="3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06BC6"/>
    <w:rsid w:val="00047521"/>
    <w:rsid w:val="000502F5"/>
    <w:rsid w:val="00052A49"/>
    <w:rsid w:val="00065AD2"/>
    <w:rsid w:val="00066EBA"/>
    <w:rsid w:val="000743FC"/>
    <w:rsid w:val="00095EA7"/>
    <w:rsid w:val="00096DE3"/>
    <w:rsid w:val="000B08A9"/>
    <w:rsid w:val="000B0CA1"/>
    <w:rsid w:val="000D2C99"/>
    <w:rsid w:val="000D49B8"/>
    <w:rsid w:val="000E288A"/>
    <w:rsid w:val="000E2D7A"/>
    <w:rsid w:val="000E3D79"/>
    <w:rsid w:val="000E75FB"/>
    <w:rsid w:val="00125F9F"/>
    <w:rsid w:val="00140A02"/>
    <w:rsid w:val="001804D9"/>
    <w:rsid w:val="0018528B"/>
    <w:rsid w:val="001A73F1"/>
    <w:rsid w:val="001B3AA6"/>
    <w:rsid w:val="001C428E"/>
    <w:rsid w:val="001C693C"/>
    <w:rsid w:val="001D31C9"/>
    <w:rsid w:val="001D79E0"/>
    <w:rsid w:val="001E16E7"/>
    <w:rsid w:val="001E5492"/>
    <w:rsid w:val="00200C7C"/>
    <w:rsid w:val="00205904"/>
    <w:rsid w:val="00207A46"/>
    <w:rsid w:val="002132E7"/>
    <w:rsid w:val="00240D7B"/>
    <w:rsid w:val="00241453"/>
    <w:rsid w:val="00245883"/>
    <w:rsid w:val="00245BB4"/>
    <w:rsid w:val="00262E84"/>
    <w:rsid w:val="00276C04"/>
    <w:rsid w:val="002B1258"/>
    <w:rsid w:val="002B2FD5"/>
    <w:rsid w:val="002C1859"/>
    <w:rsid w:val="002D68C2"/>
    <w:rsid w:val="002F2935"/>
    <w:rsid w:val="00302B27"/>
    <w:rsid w:val="00311203"/>
    <w:rsid w:val="003242E4"/>
    <w:rsid w:val="00327126"/>
    <w:rsid w:val="00344436"/>
    <w:rsid w:val="00352FDB"/>
    <w:rsid w:val="00361722"/>
    <w:rsid w:val="003632DC"/>
    <w:rsid w:val="00367030"/>
    <w:rsid w:val="00371724"/>
    <w:rsid w:val="00373D2C"/>
    <w:rsid w:val="00383A74"/>
    <w:rsid w:val="00397DEA"/>
    <w:rsid w:val="003B45F8"/>
    <w:rsid w:val="003B783F"/>
    <w:rsid w:val="003C41A1"/>
    <w:rsid w:val="003C4A5E"/>
    <w:rsid w:val="003E08A7"/>
    <w:rsid w:val="003F0422"/>
    <w:rsid w:val="003F1B1A"/>
    <w:rsid w:val="00402B13"/>
    <w:rsid w:val="00423B65"/>
    <w:rsid w:val="00435B77"/>
    <w:rsid w:val="004566C1"/>
    <w:rsid w:val="004926B5"/>
    <w:rsid w:val="004A1995"/>
    <w:rsid w:val="004D1C2B"/>
    <w:rsid w:val="004D285D"/>
    <w:rsid w:val="004D5CEB"/>
    <w:rsid w:val="004E1E50"/>
    <w:rsid w:val="00506C7C"/>
    <w:rsid w:val="00506E41"/>
    <w:rsid w:val="0051541B"/>
    <w:rsid w:val="00515BFC"/>
    <w:rsid w:val="005478C4"/>
    <w:rsid w:val="00554CAE"/>
    <w:rsid w:val="00557478"/>
    <w:rsid w:val="00573757"/>
    <w:rsid w:val="005775E9"/>
    <w:rsid w:val="005808EB"/>
    <w:rsid w:val="00583281"/>
    <w:rsid w:val="00587559"/>
    <w:rsid w:val="00591D4B"/>
    <w:rsid w:val="005B153E"/>
    <w:rsid w:val="005B59EE"/>
    <w:rsid w:val="005D3E8C"/>
    <w:rsid w:val="005E0EE3"/>
    <w:rsid w:val="005E54AA"/>
    <w:rsid w:val="005F4EDA"/>
    <w:rsid w:val="00602289"/>
    <w:rsid w:val="00602365"/>
    <w:rsid w:val="00641ABC"/>
    <w:rsid w:val="00653DC4"/>
    <w:rsid w:val="00676100"/>
    <w:rsid w:val="006A024C"/>
    <w:rsid w:val="006A0D61"/>
    <w:rsid w:val="006A1348"/>
    <w:rsid w:val="006B3FB1"/>
    <w:rsid w:val="006C08EC"/>
    <w:rsid w:val="006C0907"/>
    <w:rsid w:val="006C6A75"/>
    <w:rsid w:val="006F02EC"/>
    <w:rsid w:val="00712C49"/>
    <w:rsid w:val="0072602B"/>
    <w:rsid w:val="00726AFA"/>
    <w:rsid w:val="00727248"/>
    <w:rsid w:val="00735844"/>
    <w:rsid w:val="00747EC0"/>
    <w:rsid w:val="00766998"/>
    <w:rsid w:val="00770EBF"/>
    <w:rsid w:val="0078395D"/>
    <w:rsid w:val="00795933"/>
    <w:rsid w:val="007A5AF9"/>
    <w:rsid w:val="007D0959"/>
    <w:rsid w:val="007D27B5"/>
    <w:rsid w:val="007E6569"/>
    <w:rsid w:val="00806233"/>
    <w:rsid w:val="00835281"/>
    <w:rsid w:val="0084300B"/>
    <w:rsid w:val="00853B29"/>
    <w:rsid w:val="0086042C"/>
    <w:rsid w:val="00864FEA"/>
    <w:rsid w:val="00870289"/>
    <w:rsid w:val="00871A56"/>
    <w:rsid w:val="008939CB"/>
    <w:rsid w:val="008A07F2"/>
    <w:rsid w:val="008B037F"/>
    <w:rsid w:val="008B3BD5"/>
    <w:rsid w:val="008C1392"/>
    <w:rsid w:val="009007AD"/>
    <w:rsid w:val="00901E77"/>
    <w:rsid w:val="00981831"/>
    <w:rsid w:val="0098674D"/>
    <w:rsid w:val="009A0804"/>
    <w:rsid w:val="009A0D3E"/>
    <w:rsid w:val="009B04AB"/>
    <w:rsid w:val="009C4606"/>
    <w:rsid w:val="009D3E76"/>
    <w:rsid w:val="009D767D"/>
    <w:rsid w:val="009F53FB"/>
    <w:rsid w:val="009F66F4"/>
    <w:rsid w:val="00A3791E"/>
    <w:rsid w:val="00A4155C"/>
    <w:rsid w:val="00A43F6A"/>
    <w:rsid w:val="00A46E5C"/>
    <w:rsid w:val="00A52DCB"/>
    <w:rsid w:val="00A81821"/>
    <w:rsid w:val="00A8569F"/>
    <w:rsid w:val="00A92314"/>
    <w:rsid w:val="00A936D8"/>
    <w:rsid w:val="00AA6B16"/>
    <w:rsid w:val="00AE677A"/>
    <w:rsid w:val="00AF34D5"/>
    <w:rsid w:val="00B408AE"/>
    <w:rsid w:val="00B42C6E"/>
    <w:rsid w:val="00B5718E"/>
    <w:rsid w:val="00B65B0B"/>
    <w:rsid w:val="00B9737C"/>
    <w:rsid w:val="00BB5D32"/>
    <w:rsid w:val="00BB7F93"/>
    <w:rsid w:val="00BC4B74"/>
    <w:rsid w:val="00BC5453"/>
    <w:rsid w:val="00C11EAF"/>
    <w:rsid w:val="00C20FBE"/>
    <w:rsid w:val="00C214DD"/>
    <w:rsid w:val="00C2274B"/>
    <w:rsid w:val="00C41807"/>
    <w:rsid w:val="00C432E3"/>
    <w:rsid w:val="00C60A9B"/>
    <w:rsid w:val="00C96DDA"/>
    <w:rsid w:val="00CC05D0"/>
    <w:rsid w:val="00CE045C"/>
    <w:rsid w:val="00CE2F26"/>
    <w:rsid w:val="00CE50DF"/>
    <w:rsid w:val="00CF4654"/>
    <w:rsid w:val="00D056E4"/>
    <w:rsid w:val="00D141C4"/>
    <w:rsid w:val="00D17AD6"/>
    <w:rsid w:val="00D209B2"/>
    <w:rsid w:val="00D25EA6"/>
    <w:rsid w:val="00D34E33"/>
    <w:rsid w:val="00D50CB8"/>
    <w:rsid w:val="00D63C5A"/>
    <w:rsid w:val="00D67B08"/>
    <w:rsid w:val="00D9016E"/>
    <w:rsid w:val="00D90FD5"/>
    <w:rsid w:val="00DC5343"/>
    <w:rsid w:val="00DD7405"/>
    <w:rsid w:val="00DF40E2"/>
    <w:rsid w:val="00E01ADC"/>
    <w:rsid w:val="00E11731"/>
    <w:rsid w:val="00E22FB9"/>
    <w:rsid w:val="00E3746C"/>
    <w:rsid w:val="00E56BEC"/>
    <w:rsid w:val="00E64354"/>
    <w:rsid w:val="00E710F1"/>
    <w:rsid w:val="00E842DE"/>
    <w:rsid w:val="00E954C8"/>
    <w:rsid w:val="00EA3DE0"/>
    <w:rsid w:val="00EB4EDA"/>
    <w:rsid w:val="00EC3527"/>
    <w:rsid w:val="00ED17C2"/>
    <w:rsid w:val="00ED4A3D"/>
    <w:rsid w:val="00EF54FF"/>
    <w:rsid w:val="00F00B49"/>
    <w:rsid w:val="00F10FED"/>
    <w:rsid w:val="00F166B6"/>
    <w:rsid w:val="00F2756E"/>
    <w:rsid w:val="00F442FD"/>
    <w:rsid w:val="00F522E1"/>
    <w:rsid w:val="00F63203"/>
    <w:rsid w:val="00F66D80"/>
    <w:rsid w:val="00F758BC"/>
    <w:rsid w:val="00F877E5"/>
    <w:rsid w:val="00F95638"/>
    <w:rsid w:val="00FC6CF4"/>
    <w:rsid w:val="00FC7156"/>
    <w:rsid w:val="00FD4EB2"/>
    <w:rsid w:val="00FE3686"/>
    <w:rsid w:val="00F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01ADC"/>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23</cp:revision>
  <cp:lastPrinted>2021-12-10T16:05:00Z</cp:lastPrinted>
  <dcterms:created xsi:type="dcterms:W3CDTF">2023-01-05T11:32:00Z</dcterms:created>
  <dcterms:modified xsi:type="dcterms:W3CDTF">2023-01-05T11:40:00Z</dcterms:modified>
</cp:coreProperties>
</file>