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567" w:type="dxa"/>
        <w:tblLook w:val="04A0" w:firstRow="1" w:lastRow="0" w:firstColumn="1" w:lastColumn="0" w:noHBand="0" w:noVBand="1"/>
      </w:tblPr>
      <w:tblGrid>
        <w:gridCol w:w="3652"/>
        <w:gridCol w:w="425"/>
        <w:gridCol w:w="4108"/>
        <w:gridCol w:w="382"/>
      </w:tblGrid>
      <w:tr w:rsidR="009D75B4" w:rsidTr="00D47198">
        <w:trPr>
          <w:trHeight w:val="675"/>
        </w:trPr>
        <w:tc>
          <w:tcPr>
            <w:tcW w:w="8567" w:type="dxa"/>
            <w:gridSpan w:val="4"/>
            <w:shd w:val="clear" w:color="auto" w:fill="D9D9D9" w:themeFill="background1" w:themeFillShade="D9"/>
          </w:tcPr>
          <w:p w:rsidR="009D75B4" w:rsidRDefault="009D75B4" w:rsidP="009D75B4">
            <w:pPr>
              <w:jc w:val="center"/>
              <w:rPr>
                <w:rFonts w:asciiTheme="minorHAnsi" w:hAnsiTheme="minorHAnsi" w:cs="Arial"/>
                <w:b/>
              </w:rPr>
            </w:pPr>
            <w:bookmarkStart w:id="0" w:name="_GoBack"/>
            <w:bookmarkEnd w:id="0"/>
            <w:r w:rsidRPr="009D75B4">
              <w:rPr>
                <w:rFonts w:asciiTheme="minorHAnsi" w:hAnsiTheme="minorHAnsi" w:cs="Arial"/>
                <w:b/>
              </w:rPr>
              <w:t xml:space="preserve">NEIGHBOURHOOD PLANNING OFFICER DECISION </w:t>
            </w:r>
          </w:p>
          <w:p w:rsidR="009D75B4" w:rsidRDefault="009D75B4" w:rsidP="009D75B4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9D75B4" w:rsidTr="00D47198">
        <w:trPr>
          <w:trHeight w:val="329"/>
        </w:trPr>
        <w:tc>
          <w:tcPr>
            <w:tcW w:w="8567" w:type="dxa"/>
            <w:gridSpan w:val="4"/>
            <w:tcBorders>
              <w:bottom w:val="single" w:sz="12" w:space="0" w:color="auto"/>
            </w:tcBorders>
          </w:tcPr>
          <w:p w:rsidR="00E03E1A" w:rsidRDefault="009D75B4" w:rsidP="00E03E1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DECISION REQUIRED </w:t>
            </w:r>
            <w:r w:rsidRPr="009D75B4">
              <w:rPr>
                <w:rFonts w:asciiTheme="minorHAnsi" w:hAnsiTheme="minorHAnsi" w:cs="Arial"/>
                <w:i/>
              </w:rPr>
              <w:t>(please tick one box)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9D75B4" w:rsidTr="00D47198">
        <w:trPr>
          <w:trHeight w:val="69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E03E1A" w:rsidP="009D75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03E1A">
              <w:rPr>
                <w:rFonts w:asciiTheme="minorHAnsi" w:hAnsiTheme="minorHAnsi" w:cs="Arial"/>
                <w:sz w:val="22"/>
                <w:szCs w:val="22"/>
              </w:rPr>
              <w:t xml:space="preserve">Designate a Neighbourhood Forum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9D75B4" w:rsidP="009D75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E03E1A" w:rsidP="00E03E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03E1A">
              <w:rPr>
                <w:rFonts w:asciiTheme="minorHAnsi" w:hAnsiTheme="minorHAnsi" w:cs="Arial"/>
                <w:sz w:val="22"/>
                <w:szCs w:val="22"/>
              </w:rPr>
              <w:t xml:space="preserve">Agree comments on a pre-submission plan 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9D75B4" w:rsidP="009D75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5B4" w:rsidTr="00D47198">
        <w:trPr>
          <w:trHeight w:val="69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E03E1A" w:rsidP="00E03E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03E1A">
              <w:rPr>
                <w:rFonts w:asciiTheme="minorHAnsi" w:hAnsiTheme="minorHAnsi" w:cs="Arial"/>
                <w:sz w:val="22"/>
                <w:szCs w:val="22"/>
              </w:rPr>
              <w:t>Designate a Neighbourhood Area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9D75B4" w:rsidP="009D75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E03E1A" w:rsidP="009D75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03E1A">
              <w:rPr>
                <w:rFonts w:asciiTheme="minorHAnsi" w:hAnsiTheme="minorHAnsi" w:cs="Arial"/>
                <w:sz w:val="22"/>
                <w:szCs w:val="22"/>
              </w:rPr>
              <w:t xml:space="preserve">Agree comments on a submitted plan 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9D75B4" w:rsidP="009D75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5B4" w:rsidTr="00D47198">
        <w:trPr>
          <w:trHeight w:val="69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E03E1A" w:rsidP="009D75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03E1A">
              <w:rPr>
                <w:rFonts w:asciiTheme="minorHAnsi" w:hAnsiTheme="minorHAnsi" w:cs="Arial"/>
                <w:sz w:val="22"/>
                <w:szCs w:val="22"/>
              </w:rPr>
              <w:t xml:space="preserve">Whether to accept and publicise a Submitted Plan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9D75B4" w:rsidP="009D75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D47198" w:rsidP="00D4719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Agree the a</w:t>
            </w:r>
            <w:r w:rsidR="00E03E1A" w:rsidRPr="00E03E1A">
              <w:rPr>
                <w:rFonts w:asciiTheme="minorHAnsi" w:hAnsiTheme="minorHAnsi" w:cs="Arial"/>
                <w:sz w:val="22"/>
                <w:szCs w:val="22"/>
              </w:rPr>
              <w:t xml:space="preserve">ppointment of an Examiner 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9D75B4" w:rsidP="009D75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5B4" w:rsidTr="00D47198">
        <w:trPr>
          <w:trHeight w:val="69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E03E1A" w:rsidP="009D75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03E1A">
              <w:rPr>
                <w:rFonts w:asciiTheme="minorHAnsi" w:hAnsiTheme="minorHAnsi" w:cs="Arial"/>
                <w:sz w:val="22"/>
                <w:szCs w:val="22"/>
              </w:rPr>
              <w:t>Whether to decline or accept a repeat proposal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9D75B4" w:rsidP="009D75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E03E1A" w:rsidP="00E03E1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Agree a</w:t>
            </w:r>
            <w:r w:rsidRPr="00E03E1A">
              <w:rPr>
                <w:rFonts w:asciiTheme="minorHAnsi" w:hAnsiTheme="minorHAnsi" w:cs="Arial"/>
                <w:sz w:val="22"/>
                <w:szCs w:val="22"/>
              </w:rPr>
              <w:t xml:space="preserve">ctions to take following an Examiner’s report 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C7A" w:rsidRDefault="00A47C7A" w:rsidP="009D75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D75B4" w:rsidRPr="00A47C7A" w:rsidRDefault="00A47C7A" w:rsidP="00A47C7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7C7A">
              <w:rPr>
                <w:rFonts w:asciiTheme="minorHAnsi" w:hAnsiTheme="minorHAnsi" w:cs="Arial"/>
                <w:b/>
                <w:color w:val="FF0000"/>
                <w:sz w:val="30"/>
                <w:szCs w:val="22"/>
              </w:rPr>
              <w:t>X</w:t>
            </w:r>
          </w:p>
        </w:tc>
      </w:tr>
      <w:tr w:rsidR="009D75B4" w:rsidTr="00D47198">
        <w:trPr>
          <w:trHeight w:val="69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E03E1A" w:rsidP="009D75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03E1A">
              <w:rPr>
                <w:rFonts w:asciiTheme="minorHAnsi" w:hAnsiTheme="minorHAnsi" w:cs="Arial"/>
                <w:sz w:val="22"/>
                <w:szCs w:val="22"/>
              </w:rPr>
              <w:t xml:space="preserve">Whether to modify a Plan or Order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9D75B4" w:rsidP="009D75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9D75B4" w:rsidP="009D75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B4" w:rsidRPr="00E03E1A" w:rsidRDefault="009D75B4" w:rsidP="009D75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5B4" w:rsidTr="00D47198">
        <w:trPr>
          <w:trHeight w:val="346"/>
        </w:trPr>
        <w:tc>
          <w:tcPr>
            <w:tcW w:w="8567" w:type="dxa"/>
            <w:gridSpan w:val="4"/>
            <w:tcBorders>
              <w:top w:val="single" w:sz="12" w:space="0" w:color="auto"/>
            </w:tcBorders>
          </w:tcPr>
          <w:p w:rsidR="009D75B4" w:rsidRDefault="009D75B4" w:rsidP="009D75B4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03E1A" w:rsidTr="00D47198">
        <w:trPr>
          <w:trHeight w:val="329"/>
        </w:trPr>
        <w:tc>
          <w:tcPr>
            <w:tcW w:w="3671" w:type="dxa"/>
          </w:tcPr>
          <w:p w:rsidR="00E03E1A" w:rsidRDefault="00E03E1A" w:rsidP="00E03E1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LOCATION</w:t>
            </w:r>
            <w:r w:rsidR="00D47198">
              <w:rPr>
                <w:rFonts w:asciiTheme="minorHAnsi" w:hAnsiTheme="minorHAnsi" w:cs="Arial"/>
                <w:b/>
              </w:rPr>
              <w:t>/ PARISH</w:t>
            </w:r>
          </w:p>
        </w:tc>
        <w:tc>
          <w:tcPr>
            <w:tcW w:w="4896" w:type="dxa"/>
            <w:gridSpan w:val="3"/>
          </w:tcPr>
          <w:p w:rsidR="00E03E1A" w:rsidRDefault="00C65698" w:rsidP="00A47C7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Castlethorpe</w:t>
            </w:r>
          </w:p>
        </w:tc>
      </w:tr>
      <w:tr w:rsidR="00E03E1A" w:rsidTr="00D47198">
        <w:trPr>
          <w:trHeight w:val="329"/>
        </w:trPr>
        <w:tc>
          <w:tcPr>
            <w:tcW w:w="3671" w:type="dxa"/>
          </w:tcPr>
          <w:p w:rsidR="00E03E1A" w:rsidRDefault="00E03E1A" w:rsidP="00E03E1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DATE RECEIVED </w:t>
            </w:r>
          </w:p>
        </w:tc>
        <w:tc>
          <w:tcPr>
            <w:tcW w:w="4896" w:type="dxa"/>
            <w:gridSpan w:val="3"/>
          </w:tcPr>
          <w:p w:rsidR="00E03E1A" w:rsidRDefault="00C65698" w:rsidP="00A47C7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18.06.2017</w:t>
            </w:r>
          </w:p>
        </w:tc>
      </w:tr>
      <w:tr w:rsidR="00E03E1A" w:rsidTr="00D47198">
        <w:trPr>
          <w:trHeight w:val="641"/>
        </w:trPr>
        <w:tc>
          <w:tcPr>
            <w:tcW w:w="3671" w:type="dxa"/>
          </w:tcPr>
          <w:p w:rsidR="00E03E1A" w:rsidRDefault="00E03E1A" w:rsidP="00D47198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DEADLINE FOR DECISION </w:t>
            </w:r>
            <w:r w:rsidRPr="00E03E1A">
              <w:rPr>
                <w:rFonts w:asciiTheme="minorHAnsi" w:hAnsiTheme="minorHAnsi" w:cs="Arial"/>
                <w:i/>
                <w:sz w:val="22"/>
                <w:szCs w:val="22"/>
              </w:rPr>
              <w:t xml:space="preserve">(where </w:t>
            </w:r>
            <w:proofErr w:type="spellStart"/>
            <w:r w:rsidR="00D47198">
              <w:rPr>
                <w:rFonts w:asciiTheme="minorHAnsi" w:hAnsiTheme="minorHAnsi" w:cs="Arial"/>
                <w:i/>
                <w:sz w:val="22"/>
                <w:szCs w:val="22"/>
              </w:rPr>
              <w:t>Regs</w:t>
            </w:r>
            <w:proofErr w:type="spellEnd"/>
            <w:r w:rsidR="00D47198">
              <w:rPr>
                <w:rFonts w:asciiTheme="minorHAnsi" w:hAnsiTheme="minorHAnsi" w:cs="Arial"/>
                <w:i/>
                <w:sz w:val="22"/>
                <w:szCs w:val="22"/>
              </w:rPr>
              <w:t xml:space="preserve"> require this</w:t>
            </w:r>
            <w:r w:rsidRPr="00E03E1A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4896" w:type="dxa"/>
            <w:gridSpan w:val="3"/>
          </w:tcPr>
          <w:p w:rsidR="00E03E1A" w:rsidRDefault="00C65698" w:rsidP="00E03E1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23.07.2017</w:t>
            </w:r>
          </w:p>
        </w:tc>
      </w:tr>
      <w:tr w:rsidR="00CA5AFC" w:rsidTr="00CA5AFC">
        <w:trPr>
          <w:trHeight w:val="340"/>
        </w:trPr>
        <w:tc>
          <w:tcPr>
            <w:tcW w:w="3671" w:type="dxa"/>
          </w:tcPr>
          <w:p w:rsidR="00CA5AFC" w:rsidRDefault="00CA5AFC" w:rsidP="00D47198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LEAD OFFICER</w:t>
            </w:r>
          </w:p>
        </w:tc>
        <w:tc>
          <w:tcPr>
            <w:tcW w:w="4896" w:type="dxa"/>
            <w:gridSpan w:val="3"/>
          </w:tcPr>
          <w:p w:rsidR="00CA5AFC" w:rsidRDefault="00C65698" w:rsidP="00E03E1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Jon Wellstead</w:t>
            </w:r>
          </w:p>
        </w:tc>
      </w:tr>
      <w:tr w:rsidR="00E03E1A" w:rsidTr="00B50587">
        <w:trPr>
          <w:trHeight w:val="1692"/>
        </w:trPr>
        <w:tc>
          <w:tcPr>
            <w:tcW w:w="8567" w:type="dxa"/>
            <w:gridSpan w:val="4"/>
          </w:tcPr>
          <w:p w:rsidR="00E03E1A" w:rsidRPr="00E03E1A" w:rsidRDefault="00E03E1A" w:rsidP="00E03E1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 xml:space="preserve">ISSUES/COMMENTS </w:t>
            </w:r>
            <w:r w:rsidRPr="00E03E1A">
              <w:rPr>
                <w:rFonts w:asciiTheme="minorHAnsi" w:hAnsiTheme="minorHAnsi" w:cs="Arial"/>
                <w:i/>
                <w:sz w:val="22"/>
                <w:szCs w:val="22"/>
              </w:rPr>
              <w:t>(including details of any consultation</w:t>
            </w:r>
            <w:r w:rsidR="00D47198">
              <w:rPr>
                <w:rFonts w:asciiTheme="minorHAnsi" w:hAnsiTheme="minorHAnsi" w:cs="Arial"/>
                <w:i/>
                <w:sz w:val="22"/>
                <w:szCs w:val="22"/>
              </w:rPr>
              <w:t>s</w:t>
            </w:r>
            <w:r w:rsidRPr="00E03E1A">
              <w:rPr>
                <w:rFonts w:asciiTheme="minorHAnsi" w:hAnsiTheme="minorHAnsi" w:cs="Arial"/>
                <w:i/>
                <w:sz w:val="22"/>
                <w:szCs w:val="22"/>
              </w:rPr>
              <w:t xml:space="preserve"> undertaken and any comments received) </w:t>
            </w:r>
          </w:p>
          <w:p w:rsidR="00E03E1A" w:rsidRDefault="00E03E1A" w:rsidP="00E03E1A">
            <w:pPr>
              <w:rPr>
                <w:rFonts w:asciiTheme="minorHAnsi" w:hAnsiTheme="minorHAnsi" w:cs="Arial"/>
                <w:b/>
              </w:rPr>
            </w:pPr>
          </w:p>
          <w:p w:rsidR="00415347" w:rsidRPr="00C001F6" w:rsidRDefault="00C001F6" w:rsidP="00941C43">
            <w:pPr>
              <w:rPr>
                <w:rFonts w:asciiTheme="minorHAnsi" w:hAnsiTheme="minorHAnsi" w:cs="Arial"/>
                <w:b/>
              </w:rPr>
            </w:pPr>
            <w:r w:rsidRPr="00C001F6">
              <w:rPr>
                <w:rFonts w:asciiTheme="minorHAnsi" w:hAnsiTheme="minorHAnsi" w:cs="Arial"/>
              </w:rPr>
              <w:t xml:space="preserve">A second examination was held into the proposed designation of </w:t>
            </w:r>
            <w:proofErr w:type="spellStart"/>
            <w:r w:rsidRPr="00C001F6">
              <w:rPr>
                <w:rFonts w:asciiTheme="minorHAnsi" w:hAnsiTheme="minorHAnsi" w:cs="Arial"/>
              </w:rPr>
              <w:t>Gobbey’s</w:t>
            </w:r>
            <w:proofErr w:type="spellEnd"/>
            <w:r w:rsidRPr="00C001F6">
              <w:rPr>
                <w:rFonts w:asciiTheme="minorHAnsi" w:hAnsiTheme="minorHAnsi" w:cs="Arial"/>
              </w:rPr>
              <w:t xml:space="preserve"> Field as Local Green Space in the Castlethorpe Neighbourhood Plan. </w:t>
            </w:r>
            <w:r w:rsidR="00A47C7A" w:rsidRPr="00C001F6">
              <w:rPr>
                <w:rFonts w:asciiTheme="minorHAnsi" w:hAnsiTheme="minorHAnsi" w:cs="Arial"/>
              </w:rPr>
              <w:t xml:space="preserve">The </w:t>
            </w:r>
            <w:r w:rsidRPr="00C001F6">
              <w:rPr>
                <w:rFonts w:asciiTheme="minorHAnsi" w:hAnsiTheme="minorHAnsi" w:cs="Arial"/>
              </w:rPr>
              <w:t>examination</w:t>
            </w:r>
            <w:r>
              <w:rPr>
                <w:rFonts w:asciiTheme="minorHAnsi" w:hAnsiTheme="minorHAnsi" w:cs="Arial"/>
              </w:rPr>
              <w:t xml:space="preserve"> was </w:t>
            </w:r>
            <w:r w:rsidR="00A47C7A">
              <w:rPr>
                <w:rFonts w:asciiTheme="minorHAnsi" w:hAnsiTheme="minorHAnsi" w:cs="Arial"/>
              </w:rPr>
              <w:t xml:space="preserve">independently examined by </w:t>
            </w:r>
            <w:r w:rsidR="00C65698">
              <w:rPr>
                <w:rFonts w:asciiTheme="minorHAnsi" w:hAnsiTheme="minorHAnsi" w:cs="Arial"/>
              </w:rPr>
              <w:t>Mrs Rosemary Kidd</w:t>
            </w:r>
            <w:r w:rsidR="00A47C7A">
              <w:rPr>
                <w:rFonts w:asciiTheme="minorHAnsi" w:hAnsiTheme="minorHAnsi" w:cs="Arial"/>
              </w:rPr>
              <w:t xml:space="preserve">, whose </w:t>
            </w:r>
            <w:r w:rsidR="00941C43">
              <w:rPr>
                <w:rFonts w:asciiTheme="minorHAnsi" w:hAnsiTheme="minorHAnsi" w:cs="Arial"/>
              </w:rPr>
              <w:t xml:space="preserve">final </w:t>
            </w:r>
            <w:r w:rsidR="00A47C7A">
              <w:rPr>
                <w:rFonts w:asciiTheme="minorHAnsi" w:hAnsiTheme="minorHAnsi" w:cs="Arial"/>
              </w:rPr>
              <w:t xml:space="preserve">report was received on </w:t>
            </w:r>
            <w:r w:rsidR="00C65698">
              <w:rPr>
                <w:rFonts w:asciiTheme="minorHAnsi" w:hAnsiTheme="minorHAnsi" w:cs="Arial"/>
              </w:rPr>
              <w:t>18 July</w:t>
            </w:r>
            <w:r w:rsidR="00941C43">
              <w:rPr>
                <w:rFonts w:asciiTheme="minorHAnsi" w:hAnsiTheme="minorHAnsi" w:cs="Arial"/>
              </w:rPr>
              <w:t xml:space="preserve"> 2017</w:t>
            </w:r>
            <w:r w:rsidR="00A47C7A">
              <w:rPr>
                <w:rFonts w:asciiTheme="minorHAnsi" w:hAnsiTheme="minorHAnsi" w:cs="Arial"/>
              </w:rPr>
              <w:t xml:space="preserve">.  </w:t>
            </w:r>
            <w:r w:rsidR="00415347">
              <w:rPr>
                <w:rFonts w:asciiTheme="minorHAnsi" w:hAnsiTheme="minorHAnsi" w:cs="Arial"/>
              </w:rPr>
              <w:t xml:space="preserve">The examiner’s report is available at </w:t>
            </w:r>
            <w:hyperlink r:id="rId6" w:history="1">
              <w:r w:rsidR="00C65698" w:rsidRPr="00C65698">
                <w:rPr>
                  <w:rStyle w:val="Hyperlink"/>
                  <w:rFonts w:asciiTheme="minorHAnsi" w:hAnsiTheme="minorHAnsi"/>
                </w:rPr>
                <w:t>L:\Development_Plans\Localism Act\Neighbourhood Plans from non frontrunners\Castlethorpe NP\2nd EXAMNERS REPORT Mrs Rosemary Kidd</w:t>
              </w:r>
            </w:hyperlink>
          </w:p>
          <w:p w:rsidR="00415347" w:rsidRDefault="00415347" w:rsidP="00941C43">
            <w:pPr>
              <w:rPr>
                <w:rFonts w:asciiTheme="minorHAnsi" w:hAnsiTheme="minorHAnsi" w:cs="Arial"/>
              </w:rPr>
            </w:pPr>
          </w:p>
          <w:p w:rsidR="00941C43" w:rsidRDefault="00941C43" w:rsidP="00941C4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 </w:t>
            </w:r>
            <w:r w:rsidRPr="00C65698">
              <w:rPr>
                <w:rFonts w:asciiTheme="minorHAnsi" w:hAnsiTheme="minorHAnsi" w:cs="Arial"/>
              </w:rPr>
              <w:t xml:space="preserve">findings of the </w:t>
            </w:r>
            <w:r w:rsidR="00415347" w:rsidRPr="00C65698">
              <w:rPr>
                <w:rFonts w:asciiTheme="minorHAnsi" w:hAnsiTheme="minorHAnsi" w:cs="Arial"/>
              </w:rPr>
              <w:t>examiner’s</w:t>
            </w:r>
            <w:r w:rsidRPr="00C65698">
              <w:rPr>
                <w:rFonts w:asciiTheme="minorHAnsi" w:hAnsiTheme="minorHAnsi" w:cs="Arial"/>
              </w:rPr>
              <w:t xml:space="preserve"> report are that the plan can proceed to referendum </w:t>
            </w:r>
            <w:r w:rsidR="00C65698" w:rsidRPr="00C65698">
              <w:rPr>
                <w:rFonts w:asciiTheme="minorHAnsi" w:hAnsiTheme="minorHAnsi"/>
              </w:rPr>
              <w:t xml:space="preserve">to referendum in accordance with the recommendations made in the previous examination subject to the modification to Policy 5 to delete the designation of </w:t>
            </w:r>
            <w:proofErr w:type="spellStart"/>
            <w:r w:rsidR="00C65698" w:rsidRPr="00C65698">
              <w:rPr>
                <w:rFonts w:asciiTheme="minorHAnsi" w:hAnsiTheme="minorHAnsi"/>
              </w:rPr>
              <w:t>Gobbey’s</w:t>
            </w:r>
            <w:proofErr w:type="spellEnd"/>
            <w:r w:rsidR="00C65698" w:rsidRPr="00C65698">
              <w:rPr>
                <w:rFonts w:asciiTheme="minorHAnsi" w:hAnsiTheme="minorHAnsi"/>
              </w:rPr>
              <w:t xml:space="preserve"> Field</w:t>
            </w:r>
            <w:r w:rsidRPr="00C65698">
              <w:rPr>
                <w:rFonts w:asciiTheme="minorHAnsi" w:hAnsiTheme="minorHAnsi" w:cs="Arial"/>
              </w:rPr>
              <w:t>.</w:t>
            </w:r>
          </w:p>
          <w:p w:rsidR="00A47C7A" w:rsidRDefault="00A47C7A" w:rsidP="00C65698">
            <w:pPr>
              <w:rPr>
                <w:rFonts w:asciiTheme="minorHAnsi" w:hAnsiTheme="minorHAnsi" w:cs="Arial"/>
              </w:rPr>
            </w:pPr>
          </w:p>
          <w:p w:rsidR="00C65698" w:rsidRPr="00C65698" w:rsidRDefault="00C65698" w:rsidP="00C65698">
            <w:pPr>
              <w:rPr>
                <w:rFonts w:asciiTheme="minorHAnsi" w:hAnsiTheme="minorHAnsi"/>
              </w:rPr>
            </w:pPr>
            <w:r w:rsidRPr="00C65698">
              <w:rPr>
                <w:rFonts w:asciiTheme="minorHAnsi" w:hAnsiTheme="minorHAnsi"/>
              </w:rPr>
              <w:t xml:space="preserve">The examination has concluded that there is insufficient robust evidence to demonstrate that </w:t>
            </w:r>
            <w:proofErr w:type="spellStart"/>
            <w:r w:rsidRPr="00C65698">
              <w:rPr>
                <w:rFonts w:asciiTheme="minorHAnsi" w:hAnsiTheme="minorHAnsi"/>
              </w:rPr>
              <w:t>Gobbey’s</w:t>
            </w:r>
            <w:proofErr w:type="spellEnd"/>
            <w:r w:rsidRPr="00C65698">
              <w:rPr>
                <w:rFonts w:asciiTheme="minorHAnsi" w:hAnsiTheme="minorHAnsi"/>
              </w:rPr>
              <w:t xml:space="preserve"> Field meets the criteria of NPPF paragraph 77 to justify its designation as a Local Green Space. The recommendation is to delete the designation of </w:t>
            </w:r>
            <w:proofErr w:type="spellStart"/>
            <w:r w:rsidRPr="00C65698">
              <w:rPr>
                <w:rFonts w:asciiTheme="minorHAnsi" w:hAnsiTheme="minorHAnsi"/>
              </w:rPr>
              <w:t>Gobbey’s</w:t>
            </w:r>
            <w:proofErr w:type="spellEnd"/>
            <w:r w:rsidRPr="00C65698">
              <w:rPr>
                <w:rFonts w:asciiTheme="minorHAnsi" w:hAnsiTheme="minorHAnsi"/>
              </w:rPr>
              <w:t xml:space="preserve"> Field from the list of Local Green Spaces in Policy 5 of the Castlethorpe Neighbourhood Plan in order to meet Basic Condition 1. </w:t>
            </w:r>
          </w:p>
          <w:p w:rsidR="00C65698" w:rsidRDefault="00C65698" w:rsidP="00E03E1A">
            <w:pPr>
              <w:rPr>
                <w:rFonts w:asciiTheme="minorHAnsi" w:hAnsiTheme="minorHAnsi" w:cs="Arial"/>
              </w:rPr>
            </w:pPr>
          </w:p>
          <w:p w:rsidR="00E03E1A" w:rsidRPr="00480DD7" w:rsidRDefault="00A47C7A" w:rsidP="00E03E1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Delegated approval is therefore sought to accept th</w:t>
            </w:r>
            <w:r w:rsidR="00C65698">
              <w:rPr>
                <w:rFonts w:asciiTheme="minorHAnsi" w:hAnsiTheme="minorHAnsi" w:cs="Arial"/>
              </w:rPr>
              <w:t>is change</w:t>
            </w:r>
            <w:r>
              <w:rPr>
                <w:rFonts w:asciiTheme="minorHAnsi" w:hAnsiTheme="minorHAnsi" w:cs="Arial"/>
              </w:rPr>
              <w:t xml:space="preserve"> and duly arrange the referendum. </w:t>
            </w:r>
            <w:r w:rsidR="00A72D8A">
              <w:rPr>
                <w:rFonts w:asciiTheme="minorHAnsi" w:hAnsiTheme="minorHAnsi" w:cs="Arial"/>
              </w:rPr>
              <w:t>Having liaised with the Elections team, it</w:t>
            </w:r>
            <w:r w:rsidR="00A72D8A" w:rsidRPr="000331B5">
              <w:rPr>
                <w:rFonts w:asciiTheme="minorHAnsi" w:hAnsiTheme="minorHAnsi" w:cs="Arial"/>
              </w:rPr>
              <w:t xml:space="preserve"> is anticipated that the referendum could take place </w:t>
            </w:r>
            <w:r w:rsidR="00A72D8A">
              <w:rPr>
                <w:rFonts w:asciiTheme="minorHAnsi" w:hAnsiTheme="minorHAnsi" w:cs="Arial"/>
              </w:rPr>
              <w:t xml:space="preserve">in September. </w:t>
            </w:r>
          </w:p>
          <w:p w:rsidR="00D47198" w:rsidRDefault="00D47198" w:rsidP="00E03E1A">
            <w:pPr>
              <w:rPr>
                <w:rFonts w:asciiTheme="minorHAnsi" w:hAnsiTheme="minorHAnsi" w:cs="Arial"/>
                <w:b/>
              </w:rPr>
            </w:pPr>
          </w:p>
        </w:tc>
      </w:tr>
      <w:tr w:rsidR="00D3734A" w:rsidTr="00D47198">
        <w:trPr>
          <w:trHeight w:val="675"/>
        </w:trPr>
        <w:tc>
          <w:tcPr>
            <w:tcW w:w="8567" w:type="dxa"/>
            <w:gridSpan w:val="4"/>
          </w:tcPr>
          <w:p w:rsidR="00D3734A" w:rsidRDefault="00D3734A" w:rsidP="00E03E1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BACKGROUND DOCUMENTS: </w:t>
            </w:r>
            <w:r w:rsidRPr="00D3734A">
              <w:rPr>
                <w:rFonts w:asciiTheme="minorHAnsi" w:hAnsiTheme="minorHAnsi" w:cs="Arial"/>
                <w:i/>
                <w:sz w:val="22"/>
                <w:szCs w:val="22"/>
              </w:rPr>
              <w:t>(insert hyperlink to files on L drive)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  <w:p w:rsidR="00B50587" w:rsidRDefault="00B50587" w:rsidP="00B505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C7AD6" w:rsidRDefault="00B50587" w:rsidP="00BC7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Examiner’s report: </w:t>
            </w:r>
            <w:hyperlink r:id="rId7" w:history="1">
              <w:r w:rsidR="00A72D8A" w:rsidRPr="00C65698">
                <w:rPr>
                  <w:rStyle w:val="Hyperlink"/>
                  <w:rFonts w:asciiTheme="minorHAnsi" w:hAnsiTheme="minorHAnsi"/>
                </w:rPr>
                <w:t>L:\Development_Plans\Localism Act\Neighbourhood Plans from non frontrunners\Castlethorpe NP\2nd EXAMNERS REPORT Mrs Rosemary Kidd</w:t>
              </w:r>
            </w:hyperlink>
          </w:p>
          <w:p w:rsidR="00B50587" w:rsidRDefault="00B50587" w:rsidP="00B505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50587" w:rsidRDefault="00B50587" w:rsidP="00B50587">
            <w:pPr>
              <w:rPr>
                <w:rStyle w:val="Hyperlink"/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Schedule of changes: </w:t>
            </w:r>
            <w:r w:rsidR="00094C7E">
              <w:rPr>
                <w:rStyle w:val="Hyperlink"/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B50587" w:rsidRDefault="00B50587" w:rsidP="00E03E1A">
            <w:pPr>
              <w:rPr>
                <w:rFonts w:asciiTheme="minorHAnsi" w:hAnsiTheme="minorHAnsi" w:cs="Arial"/>
                <w:b/>
              </w:rPr>
            </w:pPr>
          </w:p>
        </w:tc>
      </w:tr>
      <w:tr w:rsidR="00E03E1A" w:rsidTr="00D47198">
        <w:trPr>
          <w:trHeight w:val="675"/>
        </w:trPr>
        <w:tc>
          <w:tcPr>
            <w:tcW w:w="8567" w:type="dxa"/>
            <w:gridSpan w:val="4"/>
          </w:tcPr>
          <w:p w:rsidR="00E03E1A" w:rsidRDefault="00E03E1A" w:rsidP="00E03E1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DECISION TAKEN</w:t>
            </w:r>
            <w:r w:rsidR="00D47198">
              <w:rPr>
                <w:rFonts w:asciiTheme="minorHAnsi" w:hAnsiTheme="minorHAnsi" w:cs="Arial"/>
                <w:b/>
              </w:rPr>
              <w:t>:</w:t>
            </w:r>
          </w:p>
          <w:p w:rsidR="00D47198" w:rsidRDefault="00D47198" w:rsidP="00E03E1A">
            <w:pPr>
              <w:rPr>
                <w:rFonts w:asciiTheme="minorHAnsi" w:hAnsiTheme="minorHAnsi" w:cs="Arial"/>
                <w:b/>
              </w:rPr>
            </w:pPr>
          </w:p>
        </w:tc>
      </w:tr>
      <w:tr w:rsidR="00E03E1A" w:rsidTr="00D47198">
        <w:trPr>
          <w:trHeight w:val="1004"/>
        </w:trPr>
        <w:tc>
          <w:tcPr>
            <w:tcW w:w="8567" w:type="dxa"/>
            <w:gridSpan w:val="4"/>
          </w:tcPr>
          <w:p w:rsidR="00D47198" w:rsidRDefault="00D47198" w:rsidP="00E03E1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SIGNED: </w:t>
            </w:r>
            <w:r w:rsidR="00656E46">
              <w:rPr>
                <w:rFonts w:asciiTheme="minorHAnsi" w:hAnsiTheme="minorHAnsi" w:cs="Arial"/>
                <w:b/>
              </w:rPr>
              <w:t xml:space="preserve">     </w:t>
            </w:r>
          </w:p>
          <w:p w:rsidR="00D3734A" w:rsidRDefault="00656E46" w:rsidP="00E03E1A">
            <w:pPr>
              <w:rPr>
                <w:rFonts w:asciiTheme="minorHAnsi" w:hAnsiTheme="minorHAnsi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01DFBC2" wp14:editId="3950055D">
                  <wp:extent cx="2028825" cy="533400"/>
                  <wp:effectExtent l="0" t="0" r="9525" b="0"/>
                  <wp:docPr id="1" name="Picture 1" descr="C:\Users\LH01605\AppData\Local\Microsoft\Windows\Temporary Internet Files\Content.Outlook\IR9W70HG\Anna Rose - Electronic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H01605\AppData\Local\Microsoft\Windows\Temporary Internet Files\Content.Outlook\IR9W70HG\Anna Rose - Electronic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198" w:rsidRPr="00D47198" w:rsidRDefault="00D47198" w:rsidP="00E03E1A">
            <w:pPr>
              <w:rPr>
                <w:rFonts w:asciiTheme="minorHAnsi" w:hAnsiTheme="minorHAnsi" w:cs="Arial"/>
              </w:rPr>
            </w:pPr>
          </w:p>
        </w:tc>
      </w:tr>
      <w:tr w:rsidR="00D47198" w:rsidTr="00D47198">
        <w:trPr>
          <w:trHeight w:val="346"/>
        </w:trPr>
        <w:tc>
          <w:tcPr>
            <w:tcW w:w="8567" w:type="dxa"/>
            <w:gridSpan w:val="4"/>
          </w:tcPr>
          <w:p w:rsidR="00D47198" w:rsidRDefault="00D47198" w:rsidP="00E03E1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DATE: </w:t>
            </w:r>
            <w:r w:rsidR="00656E46">
              <w:rPr>
                <w:rFonts w:asciiTheme="minorHAnsi" w:hAnsiTheme="minorHAnsi" w:cs="Arial"/>
                <w:b/>
              </w:rPr>
              <w:t xml:space="preserve">                    3 JULY 2017 </w:t>
            </w:r>
          </w:p>
        </w:tc>
      </w:tr>
    </w:tbl>
    <w:p w:rsidR="009D75B4" w:rsidRDefault="009D75B4" w:rsidP="00D3734A">
      <w:pPr>
        <w:rPr>
          <w:rFonts w:asciiTheme="minorHAnsi" w:hAnsiTheme="minorHAnsi" w:cs="Arial"/>
          <w:b/>
        </w:rPr>
      </w:pPr>
    </w:p>
    <w:sectPr w:rsidR="009D75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A4A"/>
    <w:multiLevelType w:val="hybridMultilevel"/>
    <w:tmpl w:val="0B087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C3"/>
    <w:rsid w:val="00094C7E"/>
    <w:rsid w:val="00415347"/>
    <w:rsid w:val="00480DD7"/>
    <w:rsid w:val="00656E46"/>
    <w:rsid w:val="00936BFB"/>
    <w:rsid w:val="00941C43"/>
    <w:rsid w:val="009D75B4"/>
    <w:rsid w:val="00A47C7A"/>
    <w:rsid w:val="00A72D8A"/>
    <w:rsid w:val="00B50587"/>
    <w:rsid w:val="00BC7AD6"/>
    <w:rsid w:val="00C001F6"/>
    <w:rsid w:val="00C65698"/>
    <w:rsid w:val="00C75EDB"/>
    <w:rsid w:val="00CA5AFC"/>
    <w:rsid w:val="00D3734A"/>
    <w:rsid w:val="00D47198"/>
    <w:rsid w:val="00D648C3"/>
    <w:rsid w:val="00E03E1A"/>
    <w:rsid w:val="00F4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47C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C7A"/>
    <w:pPr>
      <w:ind w:left="720"/>
      <w:contextualSpacing/>
    </w:pPr>
  </w:style>
  <w:style w:type="character" w:styleId="FollowedHyperlink">
    <w:name w:val="FollowedHyperlink"/>
    <w:basedOn w:val="DefaultParagraphFont"/>
    <w:rsid w:val="00A47C7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656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6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47C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C7A"/>
    <w:pPr>
      <w:ind w:left="720"/>
      <w:contextualSpacing/>
    </w:pPr>
  </w:style>
  <w:style w:type="character" w:styleId="FollowedHyperlink">
    <w:name w:val="FollowedHyperlink"/>
    <w:basedOn w:val="DefaultParagraphFont"/>
    <w:rsid w:val="00A47C7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656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6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file:///L:/Development_Plans/Localism%20Act/Neighbourhood%20Plans%20from%20non%20frontrunners/Castlethorpe%20NP/2nd%20EXAMNERS%20REPORT%20Mrs%20Rosemary%20Kidd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L:/Development_Plans/Localism%20Act/Neighbourhood%20Plans%20from%20non%20frontrunners/Castlethorpe%20NP/2nd%20EXAMNERS%20REPORT%20Mrs%20Rosemary%20Kid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AA94D9B9F413774E8C2666808BABF130" ma:contentTypeVersion="10" ma:contentTypeDescription="MKC Branded Word Template Document" ma:contentTypeScope="" ma:versionID="e90e176ef562a747076c4a9f320089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0B569-8243-4DBF-A966-7F652FD649A1}"/>
</file>

<file path=customXml/itemProps2.xml><?xml version="1.0" encoding="utf-8"?>
<ds:datastoreItem xmlns:ds="http://schemas.openxmlformats.org/officeDocument/2006/customXml" ds:itemID="{58D16B09-21DF-4E7C-AF9D-4CD5CBDFC959}"/>
</file>

<file path=customXml/itemProps3.xml><?xml version="1.0" encoding="utf-8"?>
<ds:datastoreItem xmlns:ds="http://schemas.openxmlformats.org/officeDocument/2006/customXml" ds:itemID="{9A42AA4B-271B-4427-A5B9-AB5916818085}"/>
</file>

<file path=customXml/itemProps4.xml><?xml version="1.0" encoding="utf-8"?>
<ds:datastoreItem xmlns:ds="http://schemas.openxmlformats.org/officeDocument/2006/customXml" ds:itemID="{C9266A22-DDAB-4094-B957-B1A5BB52B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Wellstead, Jonathan</dc:creator>
  <cp:lastModifiedBy>Webber, Diane</cp:lastModifiedBy>
  <cp:revision>2</cp:revision>
  <dcterms:created xsi:type="dcterms:W3CDTF">2017-08-04T14:20:00Z</dcterms:created>
  <dcterms:modified xsi:type="dcterms:W3CDTF">2017-08-04T14:20:00Z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0x010100073DBBF460B4694388C550D7D3B1399900AA94D9B9F413774E8C2666808BABF130</vt:lpwstr>
  </property>
  <property fmtid="{D5CDD505-2E9C-101B-9397-08002B2CF9AE}" pid="3" name="Order">
    <vt:r8>8000</vt:r8>
  </property>
</Properties>
</file>