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5"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6"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w:t>
            </w:r>
            <w:proofErr w:type="gramStart"/>
            <w:r>
              <w:rPr>
                <w:rFonts w:cs="Arial"/>
              </w:rPr>
              <w:t>for</w:t>
            </w:r>
            <w:proofErr w:type="gramEnd"/>
            <w:r>
              <w:rPr>
                <w:rFonts w:cs="Arial"/>
              </w:rPr>
              <w:t xml:space="preserve">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xml:space="preserve">. It cannot be submitted by post, fax, </w:t>
            </w:r>
            <w:proofErr w:type="gramStart"/>
            <w:r w:rsidRPr="00026756">
              <w:rPr>
                <w:rFonts w:cs="Arial"/>
              </w:rPr>
              <w:t>e-mail</w:t>
            </w:r>
            <w:proofErr w:type="gramEnd"/>
            <w:r w:rsidRPr="00026756">
              <w:rPr>
                <w:rFonts w:cs="Arial"/>
              </w:rPr>
              <w:t xml:space="preserve">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 xml:space="preserve">meet at least one of the listed </w:t>
            </w:r>
            <w:proofErr w:type="gramStart"/>
            <w:r w:rsidRPr="00177BB1">
              <w:rPr>
                <w:rFonts w:cs="Arial"/>
              </w:rPr>
              <w:t>qualification</w:t>
            </w:r>
            <w:proofErr w:type="gramEnd"/>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7"/>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4865BBBB" w:rsidR="00D96133" w:rsidRPr="00D96133" w:rsidRDefault="00CE020F" w:rsidP="00D96133">
            <w:pPr>
              <w:ind w:left="113" w:right="113"/>
            </w:pPr>
            <w:r>
              <w:t>Browns Wood &amp; Old Farm Park</w:t>
            </w: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6E427CC5" w:rsidR="00D96133" w:rsidRPr="00D96133" w:rsidRDefault="00D96133" w:rsidP="00D96133">
            <w:pPr>
              <w:ind w:left="113" w:right="113"/>
            </w:pPr>
            <w:r w:rsidRPr="00BC5FB3">
              <w:t>*</w:t>
            </w:r>
            <w:proofErr w:type="gramStart"/>
            <w:r w:rsidRPr="00BC5FB3">
              <w:t>ward</w:t>
            </w:r>
            <w:proofErr w:type="gramEnd"/>
            <w:r w:rsidRPr="00BC5FB3">
              <w:t xml:space="preserve"> of the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proofErr w:type="gramStart"/>
            <w:r w:rsidRPr="00BC5FB3">
              <w:t>parish</w:t>
            </w:r>
            <w:proofErr w:type="gramEnd"/>
            <w:r w:rsidRPr="00BC5FB3">
              <w:t xml:space="preserve"> of</w:t>
            </w:r>
          </w:p>
          <w:p w14:paraId="36D5EE09" w14:textId="24762074" w:rsidR="00D96133" w:rsidRPr="00D96133" w:rsidRDefault="00D96133" w:rsidP="00D96133">
            <w:pPr>
              <w:ind w:left="113" w:right="113"/>
              <w:rPr>
                <w:vertAlign w:val="superscript"/>
              </w:rPr>
            </w:pP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4658DE8E" w:rsidR="00D96133" w:rsidRPr="0007362A" w:rsidRDefault="003106E5" w:rsidP="003106E5">
            <w:pPr>
              <w:ind w:right="113"/>
              <w:rPr>
                <w:rFonts w:cs="Arial"/>
              </w:rPr>
            </w:pPr>
            <w:r>
              <w:rPr>
                <w:rFonts w:cs="Arial"/>
              </w:rPr>
              <w:t xml:space="preserve">  </w:t>
            </w:r>
            <w:r w:rsidR="0007362A">
              <w:rPr>
                <w:rFonts w:cs="Arial"/>
              </w:rPr>
              <w:t>Walton</w:t>
            </w: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1578D562" w:rsidR="00D96133" w:rsidRPr="00D96133" w:rsidRDefault="00E05DAD" w:rsidP="00D96133">
            <w:pPr>
              <w:ind w:left="113" w:right="113"/>
            </w:pPr>
            <w:r>
              <w:t>Thursday 18 September 2025</w:t>
            </w: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281A7B50" w:rsidR="00D96133" w:rsidRPr="00D96133" w:rsidRDefault="00CE020F" w:rsidP="00D96133">
            <w:pPr>
              <w:ind w:left="113" w:right="113"/>
            </w:pPr>
            <w:r>
              <w:t>HG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5F09D878" w:rsidR="00D96133" w:rsidRPr="00D96133" w:rsidRDefault="00CE020F" w:rsidP="00D96133">
            <w:pPr>
              <w:ind w:left="113" w:right="113"/>
            </w:pPr>
            <w:r>
              <w:t>HG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8"/>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02D2BFA7" w:rsidR="00F375A5" w:rsidRPr="00D96133" w:rsidRDefault="00CE020F" w:rsidP="00F375A5">
            <w:pPr>
              <w:ind w:left="113" w:right="113"/>
            </w:pPr>
            <w:r>
              <w:t>Browns Wood &amp; Old Farm Park</w:t>
            </w: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50439FAD" w:rsidR="00F375A5" w:rsidRPr="00D96133" w:rsidRDefault="00F375A5" w:rsidP="00F375A5">
            <w:pPr>
              <w:ind w:left="113" w:right="113"/>
            </w:pPr>
            <w:r w:rsidRPr="00BC5FB3">
              <w:t>*</w:t>
            </w:r>
            <w:proofErr w:type="gramStart"/>
            <w:r w:rsidRPr="00BC5FB3">
              <w:t>ward</w:t>
            </w:r>
            <w:proofErr w:type="gramEnd"/>
            <w:r w:rsidRPr="00BC5FB3">
              <w:t xml:space="preserve"> of the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4D518B1C" w:rsidR="00F375A5" w:rsidRPr="00D96133" w:rsidRDefault="00F375A5" w:rsidP="00F375A5">
            <w:pPr>
              <w:ind w:left="113" w:right="113"/>
              <w:rPr>
                <w:vertAlign w:val="superscript"/>
              </w:rPr>
            </w:pPr>
          </w:p>
        </w:tc>
        <w:tc>
          <w:tcPr>
            <w:tcW w:w="5665" w:type="dxa"/>
            <w:gridSpan w:val="6"/>
            <w:shd w:val="clear" w:color="auto" w:fill="auto"/>
          </w:tcPr>
          <w:p w14:paraId="5B08B5D1" w14:textId="00FB9370" w:rsidR="00F375A5" w:rsidRPr="00D96133" w:rsidRDefault="003106E5" w:rsidP="003106E5">
            <w:pPr>
              <w:keepLines/>
              <w:spacing w:before="60" w:after="60"/>
              <w:rPr>
                <w:noProof/>
              </w:rPr>
            </w:pPr>
            <w:r>
              <w:rPr>
                <w:noProof/>
              </w:rPr>
              <w:t xml:space="preserve">  Walton</w:t>
            </w: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6C2C881B" w:rsidR="00F375A5" w:rsidRPr="00D96133" w:rsidRDefault="00E05DAD" w:rsidP="00F375A5">
            <w:pPr>
              <w:ind w:left="113" w:right="113"/>
            </w:pPr>
            <w:r>
              <w:t>Thursday 18 September 2025</w:t>
            </w: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9AD7543" w:rsidR="00345AD4" w:rsidRPr="00B54D17" w:rsidRDefault="00B54D17" w:rsidP="00B54D17">
            <w:r w:rsidRPr="00B54D17">
              <w:t>Milton Keynes</w:t>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Default="00DB4D5C" w:rsidP="00B4415E">
      <w:pPr>
        <w:rPr>
          <w:noProof/>
          <w:sz w:val="32"/>
        </w:rPr>
      </w:pPr>
    </w:p>
    <w:p w14:paraId="5E6511C3" w14:textId="77777777" w:rsidR="003F5FD9" w:rsidRDefault="003F5FD9" w:rsidP="00B4415E">
      <w:pPr>
        <w:rPr>
          <w:noProof/>
          <w:sz w:val="32"/>
        </w:rPr>
      </w:pPr>
    </w:p>
    <w:p w14:paraId="25332328" w14:textId="77777777" w:rsidR="003F5FD9" w:rsidRDefault="003F5FD9" w:rsidP="00B4415E">
      <w:pPr>
        <w:rPr>
          <w:noProof/>
          <w:sz w:val="32"/>
        </w:rPr>
      </w:pPr>
    </w:p>
    <w:p w14:paraId="4D046395" w14:textId="77777777" w:rsidR="003F5FD9" w:rsidRDefault="003F5FD9" w:rsidP="00B4415E">
      <w:pPr>
        <w:rPr>
          <w:noProof/>
          <w:sz w:val="32"/>
        </w:rPr>
      </w:pPr>
    </w:p>
    <w:p w14:paraId="456BEA85" w14:textId="77777777" w:rsidR="003F5FD9" w:rsidRDefault="003F5FD9" w:rsidP="00B4415E">
      <w:pPr>
        <w:rPr>
          <w:noProof/>
          <w:sz w:val="32"/>
        </w:rPr>
      </w:pPr>
    </w:p>
    <w:p w14:paraId="1772EED8" w14:textId="77777777" w:rsidR="003F5FD9" w:rsidRDefault="003F5FD9" w:rsidP="00B4415E">
      <w:pPr>
        <w:rPr>
          <w:noProof/>
          <w:sz w:val="32"/>
        </w:rPr>
      </w:pPr>
    </w:p>
    <w:p w14:paraId="012893A8" w14:textId="77777777" w:rsidR="003F5FD9" w:rsidRDefault="003F5FD9" w:rsidP="00B4415E">
      <w:pPr>
        <w:rPr>
          <w:noProof/>
          <w:sz w:val="32"/>
        </w:rPr>
      </w:pPr>
    </w:p>
    <w:p w14:paraId="22EF479B" w14:textId="77777777" w:rsidR="003F5FD9" w:rsidRDefault="003F5FD9" w:rsidP="00B4415E">
      <w:pPr>
        <w:rPr>
          <w:noProof/>
          <w:sz w:val="32"/>
        </w:rPr>
      </w:pPr>
    </w:p>
    <w:p w14:paraId="5F03E6D6" w14:textId="77777777" w:rsidR="003F5FD9" w:rsidRDefault="003F5FD9" w:rsidP="00B4415E">
      <w:pPr>
        <w:rPr>
          <w:noProof/>
          <w:sz w:val="32"/>
        </w:rPr>
      </w:pPr>
    </w:p>
    <w:p w14:paraId="3AA435C2" w14:textId="77777777" w:rsidR="003F5FD9" w:rsidRDefault="003F5FD9" w:rsidP="00B4415E">
      <w:pPr>
        <w:rPr>
          <w:noProof/>
          <w:sz w:val="32"/>
        </w:rPr>
      </w:pPr>
    </w:p>
    <w:p w14:paraId="02423B6C" w14:textId="77777777" w:rsidR="003F5FD9" w:rsidRDefault="003F5FD9" w:rsidP="00B4415E">
      <w:pPr>
        <w:rPr>
          <w:noProof/>
          <w:sz w:val="32"/>
        </w:rPr>
      </w:pPr>
    </w:p>
    <w:p w14:paraId="6F0F214C" w14:textId="77777777" w:rsidR="003F5FD9" w:rsidRDefault="003F5FD9" w:rsidP="00B4415E">
      <w:pPr>
        <w:rPr>
          <w:noProof/>
          <w:sz w:val="32"/>
        </w:rPr>
      </w:pPr>
    </w:p>
    <w:p w14:paraId="0D2BF201" w14:textId="77777777" w:rsidR="003F5FD9" w:rsidRDefault="003F5FD9" w:rsidP="00B4415E">
      <w:pPr>
        <w:rPr>
          <w:noProof/>
          <w:sz w:val="32"/>
        </w:rPr>
      </w:pPr>
    </w:p>
    <w:p w14:paraId="3046E91D" w14:textId="77777777" w:rsidR="003F5FD9" w:rsidRDefault="003F5FD9" w:rsidP="00B4415E">
      <w:pPr>
        <w:rPr>
          <w:noProof/>
          <w:sz w:val="32"/>
        </w:rPr>
      </w:pPr>
    </w:p>
    <w:p w14:paraId="129E5BE9" w14:textId="77777777" w:rsidR="003F5FD9" w:rsidRDefault="003F5FD9" w:rsidP="00B4415E">
      <w:pPr>
        <w:rPr>
          <w:noProof/>
          <w:sz w:val="32"/>
        </w:rPr>
      </w:pPr>
    </w:p>
    <w:p w14:paraId="7861FAEC" w14:textId="77777777" w:rsidR="003F5FD9" w:rsidRPr="000274CC" w:rsidRDefault="003F5FD9"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 xml:space="preserve">*You must declare that you meet at least one of the listed </w:t>
            </w:r>
            <w:proofErr w:type="gramStart"/>
            <w:r w:rsidRPr="00424416">
              <w:rPr>
                <w:rFonts w:cs="Arial"/>
                <w:sz w:val="20"/>
                <w:szCs w:val="20"/>
                <w:lang w:eastAsia="en-GB"/>
              </w:rPr>
              <w:t>qualification</w:t>
            </w:r>
            <w:proofErr w:type="gramEnd"/>
            <w:r w:rsidRPr="00424416">
              <w:rPr>
                <w:rFonts w:cs="Arial"/>
                <w:sz w:val="20"/>
                <w:szCs w:val="20"/>
                <w:lang w:eastAsia="en-GB"/>
              </w:rPr>
              <w:t>(s)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3DD2FAF1" w:rsidR="00DB4D5C" w:rsidRPr="008F6CCB" w:rsidRDefault="003F5FD9" w:rsidP="00DF2E08">
            <w:pPr>
              <w:rPr>
                <w:rFonts w:cs="Arial"/>
                <w:lang w:eastAsia="en-GB"/>
              </w:rPr>
            </w:pPr>
            <w:r>
              <w:rPr>
                <w:rFonts w:cs="Arial"/>
                <w:lang w:eastAsia="en-GB"/>
              </w:rPr>
              <w:t xml:space="preserve">  </w:t>
            </w:r>
            <w:r w:rsidR="00E05DAD">
              <w:rPr>
                <w:rFonts w:cs="Arial"/>
                <w:lang w:eastAsia="en-GB"/>
              </w:rPr>
              <w:t>Thursday 18 September 2025</w:t>
            </w: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5EF25C3B" w:rsidR="00DB4D5C" w:rsidRPr="008F6CCB" w:rsidRDefault="003F5FD9" w:rsidP="00DF2E08">
            <w:pPr>
              <w:rPr>
                <w:rFonts w:cs="Arial"/>
                <w:lang w:eastAsia="en-GB"/>
              </w:rPr>
            </w:pPr>
            <w:r>
              <w:rPr>
                <w:rFonts w:cs="Arial"/>
                <w:lang w:eastAsia="en-GB"/>
              </w:rPr>
              <w:t xml:space="preserve">  </w:t>
            </w:r>
            <w:r w:rsidR="00CE020F">
              <w:rPr>
                <w:rFonts w:cs="Arial"/>
                <w:lang w:eastAsia="en-GB"/>
              </w:rPr>
              <w:t>Browns Wood &amp; Old Farm Park</w:t>
            </w:r>
            <w:r>
              <w:rPr>
                <w:rFonts w:cs="Arial"/>
                <w:lang w:eastAsia="en-GB"/>
              </w:rPr>
              <w:t xml:space="preserve"> </w:t>
            </w: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63AF1BC7" w:rsidR="00DB4D5C" w:rsidRPr="008F6CCB" w:rsidRDefault="00DB4D5C" w:rsidP="00DF2E08">
            <w:pPr>
              <w:ind w:left="143"/>
              <w:rPr>
                <w:rFonts w:cs="Arial"/>
                <w:lang w:eastAsia="en-GB"/>
              </w:rPr>
            </w:pPr>
            <w:r w:rsidRPr="00BC5FB3">
              <w:t xml:space="preserve">* </w:t>
            </w:r>
            <w:proofErr w:type="gramStart"/>
            <w:r w:rsidRPr="00BC5FB3">
              <w:t>ward</w:t>
            </w:r>
            <w:proofErr w:type="gramEnd"/>
            <w:r w:rsidRPr="00BC5FB3">
              <w:t xml:space="preserve"> </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0D95A90D" w:rsidR="00DF2E08" w:rsidRPr="008F6CCB" w:rsidRDefault="003F5FD9" w:rsidP="003F5FD9">
            <w:pPr>
              <w:rPr>
                <w:rFonts w:cs="Arial"/>
                <w:lang w:eastAsia="en-GB"/>
              </w:rPr>
            </w:pPr>
            <w:r>
              <w:rPr>
                <w:rFonts w:cs="Arial"/>
                <w:lang w:eastAsia="en-GB"/>
              </w:rPr>
              <w:t xml:space="preserve">  Walton</w:t>
            </w: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1114C7A9" w:rsidR="00B4415E" w:rsidRPr="00C3549D" w:rsidRDefault="00B4415E"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w:t>
      </w:r>
      <w:proofErr w:type="gramStart"/>
      <w:r w:rsidRPr="00177BB1">
        <w:t>are</w:t>
      </w:r>
      <w:proofErr w:type="gramEnd"/>
      <w:r w:rsidRPr="00177BB1">
        <w:t xml:space="preserv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w:t>
      </w:r>
      <w:proofErr w:type="gramStart"/>
      <w:r w:rsidRPr="00177BB1">
        <w:t>Mayor</w:t>
      </w:r>
      <w:proofErr w:type="gramEnd"/>
      <w:r w:rsidRPr="00177BB1">
        <w:t xml:space="preserve">,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4BAE54F4" w:rsidR="00B17F00" w:rsidRPr="009D12EF" w:rsidRDefault="00B17F00" w:rsidP="00B4415E">
                            <w:pPr>
                              <w:jc w:val="center"/>
                              <w:rPr>
                                <w:sz w:val="32"/>
                                <w:szCs w:val="32"/>
                              </w:rPr>
                            </w:pPr>
                            <w:r>
                              <w:rPr>
                                <w:sz w:val="32"/>
                                <w:szCs w:val="32"/>
                              </w:rPr>
                              <w:t>p</w:t>
                            </w:r>
                            <w:r w:rsidR="00ED56CD">
                              <w:rPr>
                                <w:sz w:val="32"/>
                                <w:szCs w:val="32"/>
                              </w:rPr>
                              <w:t>.</w:t>
                            </w:r>
                            <w:r w:rsidR="003F5FD9">
                              <w:rPr>
                                <w:sz w:val="32"/>
                                <w:szCs w:val="32"/>
                              </w:rPr>
                              <w:t>1</w:t>
                            </w:r>
                            <w:r w:rsidR="00ED56CD">
                              <w:rPr>
                                <w:sz w:val="32"/>
                                <w:szCs w:val="32"/>
                              </w:rPr>
                              <w:t>/</w:t>
                            </w:r>
                            <w:r w:rsidR="003F5FD9">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3B4B4" id="_x0000_t202" coordsize="21600,21600" o:spt="202" path="m,l,21600r21600,l21600,xe">
                <v:stroke joinstyle="miter"/>
                <v:path gradientshapeok="t" o:connecttype="rect"/>
              </v:shapetype>
              <v:shape id="Text Box 2" o:spid="_x0000_s1026"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" fillcolor="#eaeaea" strokeweight="1pt">
                <v:shadow on="t"/>
                <v:textbox>
                  <w:txbxContent>
                    <w:p w14:paraId="08392A17" w14:textId="4BAE54F4" w:rsidR="00B17F00" w:rsidRPr="009D12EF" w:rsidRDefault="00B17F00" w:rsidP="00B4415E">
                      <w:pPr>
                        <w:jc w:val="center"/>
                        <w:rPr>
                          <w:sz w:val="32"/>
                          <w:szCs w:val="32"/>
                        </w:rPr>
                      </w:pPr>
                      <w:r>
                        <w:rPr>
                          <w:sz w:val="32"/>
                          <w:szCs w:val="32"/>
                        </w:rPr>
                        <w:t>p</w:t>
                      </w:r>
                      <w:r w:rsidR="00ED56CD">
                        <w:rPr>
                          <w:sz w:val="32"/>
                          <w:szCs w:val="32"/>
                        </w:rPr>
                        <w:t>.</w:t>
                      </w:r>
                      <w:r w:rsidR="003F5FD9">
                        <w:rPr>
                          <w:sz w:val="32"/>
                          <w:szCs w:val="32"/>
                        </w:rPr>
                        <w:t>1</w:t>
                      </w:r>
                      <w:r w:rsidR="00ED56CD">
                        <w:rPr>
                          <w:sz w:val="32"/>
                          <w:szCs w:val="32"/>
                        </w:rPr>
                        <w:t>/</w:t>
                      </w:r>
                      <w:r w:rsidR="003F5FD9">
                        <w:rPr>
                          <w:sz w:val="32"/>
                          <w:szCs w:val="32"/>
                        </w:rPr>
                        <w:t>6</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w:t>
      </w:r>
      <w:proofErr w:type="gramStart"/>
      <w:r w:rsidRPr="006F77F9">
        <w:rPr>
          <w:rFonts w:cs="Arial"/>
          <w:szCs w:val="22"/>
        </w:rPr>
        <w:t>"  means</w:t>
      </w:r>
      <w:proofErr w:type="gramEnd"/>
      <w:r w:rsidRPr="006F77F9">
        <w:rPr>
          <w:rFonts w:cs="Arial"/>
          <w:szCs w:val="22"/>
        </w:rPr>
        <w:t>—</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the notification requirements of Part 2 of the Sexual Offences Act </w:t>
      </w:r>
      <w:proofErr w:type="gramStart"/>
      <w:r w:rsidRPr="006F77F9">
        <w:rPr>
          <w:rFonts w:cs="Arial"/>
          <w:szCs w:val="22"/>
        </w:rPr>
        <w:t>2003;</w:t>
      </w:r>
      <w:proofErr w:type="gramEnd"/>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the notification requirements of Part 2 of the Sex Offenders (Jersey) Law </w:t>
      </w:r>
      <w:proofErr w:type="gramStart"/>
      <w:r w:rsidRPr="006F77F9">
        <w:rPr>
          <w:rFonts w:cs="Arial"/>
          <w:szCs w:val="22"/>
        </w:rPr>
        <w:t>2010;</w:t>
      </w:r>
      <w:proofErr w:type="gramEnd"/>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the notification requirements of Part 2 of the Criminal Justice (Sex Offenders and Miscellaneous Provisions) (Bailiwick of Guernsey) Law </w:t>
      </w:r>
      <w:proofErr w:type="gramStart"/>
      <w:r w:rsidRPr="006F77F9">
        <w:rPr>
          <w:rFonts w:cs="Arial"/>
          <w:szCs w:val="22"/>
        </w:rPr>
        <w:t>2013;</w:t>
      </w:r>
      <w:proofErr w:type="gramEnd"/>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w:t>
      </w:r>
      <w:proofErr w:type="gramStart"/>
      <w:r w:rsidRPr="006F77F9">
        <w:rPr>
          <w:rFonts w:cs="Arial"/>
          <w:szCs w:val="22"/>
        </w:rPr>
        <w:t>"  means</w:t>
      </w:r>
      <w:proofErr w:type="gramEnd"/>
      <w:r w:rsidRPr="006F77F9">
        <w:rPr>
          <w:rFonts w:cs="Arial"/>
          <w:szCs w:val="22"/>
        </w:rPr>
        <w:t>—</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a sexual harm prevention order under section 345 of the Sentencing </w:t>
      </w:r>
      <w:proofErr w:type="gramStart"/>
      <w:r w:rsidRPr="006F77F9">
        <w:rPr>
          <w:rFonts w:cs="Arial"/>
          <w:szCs w:val="22"/>
        </w:rPr>
        <w:t>Code;</w:t>
      </w:r>
      <w:proofErr w:type="gramEnd"/>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a sexual harm prevention order under section 103A of the Sexual Offences Act </w:t>
      </w:r>
      <w:proofErr w:type="gramStart"/>
      <w:r w:rsidRPr="006F77F9">
        <w:rPr>
          <w:rFonts w:cs="Arial"/>
          <w:szCs w:val="22"/>
        </w:rPr>
        <w:t>2003;</w:t>
      </w:r>
      <w:proofErr w:type="gramEnd"/>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a sexual offences prevention order under section 104 of that </w:t>
      </w:r>
      <w:proofErr w:type="gramStart"/>
      <w:r w:rsidRPr="006F77F9">
        <w:rPr>
          <w:rFonts w:cs="Arial"/>
          <w:szCs w:val="22"/>
        </w:rPr>
        <w:t>Act;</w:t>
      </w:r>
      <w:proofErr w:type="gramEnd"/>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(d)  a sexual risk order under section 122A of that </w:t>
      </w:r>
      <w:proofErr w:type="gramStart"/>
      <w:r w:rsidRPr="006F77F9">
        <w:rPr>
          <w:rFonts w:cs="Arial"/>
          <w:szCs w:val="22"/>
        </w:rPr>
        <w:t>Act;</w:t>
      </w:r>
      <w:proofErr w:type="gramEnd"/>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w:t>
      </w:r>
      <w:proofErr w:type="gramStart"/>
      <w:r w:rsidRPr="006F77F9">
        <w:rPr>
          <w:rFonts w:cs="Arial"/>
          <w:szCs w:val="22"/>
        </w:rPr>
        <w:t>Act;</w:t>
      </w:r>
      <w:proofErr w:type="gramEnd"/>
      <w:r w:rsidRPr="006F77F9">
        <w:rPr>
          <w:rFonts w:cs="Arial"/>
          <w:szCs w:val="22"/>
        </w:rPr>
        <w:t xml:space="preserve">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3B959822" w:rsidR="00ED56CD" w:rsidRPr="009D12EF" w:rsidRDefault="00ED56CD" w:rsidP="00ED56CD">
                            <w:pPr>
                              <w:jc w:val="center"/>
                              <w:rPr>
                                <w:sz w:val="32"/>
                                <w:szCs w:val="32"/>
                              </w:rPr>
                            </w:pPr>
                            <w:r>
                              <w:rPr>
                                <w:sz w:val="32"/>
                                <w:szCs w:val="32"/>
                              </w:rPr>
                              <w:t>p.</w:t>
                            </w:r>
                            <w:r w:rsidR="003F5FD9">
                              <w:rPr>
                                <w:sz w:val="32"/>
                                <w:szCs w:val="32"/>
                              </w:rPr>
                              <w:t>2</w:t>
                            </w:r>
                            <w:r>
                              <w:rPr>
                                <w:sz w:val="32"/>
                                <w:szCs w:val="32"/>
                              </w:rPr>
                              <w:t>/</w:t>
                            </w:r>
                            <w:r w:rsidR="003F5FD9">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7"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" fillcolor="#eaeaea" strokeweight="1pt">
                <v:shadow on="t"/>
                <v:textbox>
                  <w:txbxContent>
                    <w:p w14:paraId="05AF2AEA" w14:textId="3B959822" w:rsidR="00ED56CD" w:rsidRPr="009D12EF" w:rsidRDefault="00ED56CD" w:rsidP="00ED56CD">
                      <w:pPr>
                        <w:jc w:val="center"/>
                        <w:rPr>
                          <w:sz w:val="32"/>
                          <w:szCs w:val="32"/>
                        </w:rPr>
                      </w:pPr>
                      <w:r>
                        <w:rPr>
                          <w:sz w:val="32"/>
                          <w:szCs w:val="32"/>
                        </w:rPr>
                        <w:t>p.</w:t>
                      </w:r>
                      <w:r w:rsidR="003F5FD9">
                        <w:rPr>
                          <w:sz w:val="32"/>
                          <w:szCs w:val="32"/>
                        </w:rPr>
                        <w:t>2</w:t>
                      </w:r>
                      <w:r>
                        <w:rPr>
                          <w:sz w:val="32"/>
                          <w:szCs w:val="32"/>
                        </w:rPr>
                        <w:t>/</w:t>
                      </w:r>
                      <w:r w:rsidR="003F5FD9">
                        <w:rPr>
                          <w:sz w:val="32"/>
                          <w:szCs w:val="32"/>
                        </w:rPr>
                        <w:t>6</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(f)  a risk of sexual harm order under section 2 of the Protection of Children and Prevention of Sexual Offences (Scotland) Act </w:t>
      </w:r>
      <w:proofErr w:type="gramStart"/>
      <w:r w:rsidRPr="006F77F9">
        <w:rPr>
          <w:rFonts w:cs="Arial"/>
          <w:szCs w:val="22"/>
        </w:rPr>
        <w:t>2005;</w:t>
      </w:r>
      <w:proofErr w:type="gramEnd"/>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(g)  a sexual risk order under section 27 of the Abusive Behaviour and Sexual Harm (Scotland) Act </w:t>
      </w:r>
      <w:proofErr w:type="gramStart"/>
      <w:r w:rsidRPr="006F77F9">
        <w:rPr>
          <w:rFonts w:ascii="Arial" w:hAnsi="Arial" w:cs="Arial"/>
          <w:b w:val="0"/>
          <w:sz w:val="24"/>
          <w:szCs w:val="22"/>
        </w:rPr>
        <w:t>2016;</w:t>
      </w:r>
      <w:proofErr w:type="gramEnd"/>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(h)  a restraining order under Article 10 of the Sex Offenders (Jersey) Law </w:t>
      </w:r>
      <w:proofErr w:type="gramStart"/>
      <w:r w:rsidRPr="006F77F9">
        <w:rPr>
          <w:rFonts w:ascii="Arial" w:hAnsi="Arial" w:cs="Arial"/>
          <w:b w:val="0"/>
          <w:sz w:val="24"/>
          <w:szCs w:val="22"/>
        </w:rPr>
        <w:t>2010;</w:t>
      </w:r>
      <w:proofErr w:type="gramEnd"/>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w:t>
      </w:r>
      <w:proofErr w:type="spellStart"/>
      <w:r w:rsidRPr="006F77F9">
        <w:rPr>
          <w:rFonts w:ascii="Arial" w:hAnsi="Arial" w:cs="Arial"/>
          <w:b w:val="0"/>
          <w:sz w:val="24"/>
          <w:szCs w:val="22"/>
        </w:rPr>
        <w:t>i</w:t>
      </w:r>
      <w:proofErr w:type="spellEnd"/>
      <w:r w:rsidRPr="006F77F9">
        <w:rPr>
          <w:rFonts w:ascii="Arial" w:hAnsi="Arial" w:cs="Arial"/>
          <w:b w:val="0"/>
          <w:sz w:val="24"/>
          <w:szCs w:val="22"/>
        </w:rPr>
        <w:t xml:space="preserve">)  a child protection order under Article 11 of that </w:t>
      </w:r>
      <w:proofErr w:type="gramStart"/>
      <w:r w:rsidRPr="006F77F9">
        <w:rPr>
          <w:rFonts w:ascii="Arial" w:hAnsi="Arial" w:cs="Arial"/>
          <w:b w:val="0"/>
          <w:sz w:val="24"/>
          <w:szCs w:val="22"/>
        </w:rPr>
        <w:t>Law;</w:t>
      </w:r>
      <w:proofErr w:type="gramEnd"/>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(j)  a sexual offences prevention order under section 18 of the Criminal Justice (Sex Offenders and Miscellaneous Provisions) (Bailiwick of Guernsey) Law </w:t>
      </w:r>
      <w:proofErr w:type="gramStart"/>
      <w:r w:rsidRPr="006F77F9">
        <w:rPr>
          <w:rFonts w:ascii="Arial" w:hAnsi="Arial" w:cs="Arial"/>
          <w:b w:val="0"/>
          <w:sz w:val="24"/>
          <w:szCs w:val="22"/>
        </w:rPr>
        <w:t>2013;</w:t>
      </w:r>
      <w:proofErr w:type="gramEnd"/>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(k)  a risk of sexual harm order under section 22 of that </w:t>
      </w:r>
      <w:proofErr w:type="gramStart"/>
      <w:r w:rsidRPr="006F77F9">
        <w:rPr>
          <w:rFonts w:ascii="Arial" w:hAnsi="Arial" w:cs="Arial"/>
          <w:b w:val="0"/>
          <w:sz w:val="24"/>
          <w:szCs w:val="22"/>
        </w:rPr>
        <w:t>Law;</w:t>
      </w:r>
      <w:proofErr w:type="gramEnd"/>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roofErr w:type="gramStart"/>
      <w:r w:rsidRPr="006F77F9">
        <w:rPr>
          <w:rFonts w:ascii="Arial" w:hAnsi="Arial" w:cs="Arial"/>
          <w:b w:val="0"/>
          <w:sz w:val="24"/>
          <w:szCs w:val="22"/>
        </w:rPr>
        <w:t>);</w:t>
      </w:r>
      <w:proofErr w:type="gramEnd"/>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(a)  the expiry of the ordinary period allowed for making an appeal or application against the conviction, finding, caution, </w:t>
      </w:r>
      <w:proofErr w:type="gramStart"/>
      <w:r w:rsidRPr="006F77F9">
        <w:rPr>
          <w:rFonts w:ascii="Arial" w:hAnsi="Arial" w:cs="Arial"/>
          <w:b w:val="0"/>
          <w:sz w:val="24"/>
          <w:szCs w:val="22"/>
        </w:rPr>
        <w:t>order</w:t>
      </w:r>
      <w:proofErr w:type="gramEnd"/>
      <w:r w:rsidRPr="006F77F9">
        <w:rPr>
          <w:rFonts w:ascii="Arial" w:hAnsi="Arial" w:cs="Arial"/>
          <w:b w:val="0"/>
          <w:sz w:val="24"/>
          <w:szCs w:val="22"/>
        </w:rPr>
        <w:t xml:space="preserve">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463BC98B" w:rsidR="00ED56CD" w:rsidRPr="009D12EF" w:rsidRDefault="00ED56CD" w:rsidP="00ED56CD">
                            <w:pPr>
                              <w:jc w:val="center"/>
                              <w:rPr>
                                <w:sz w:val="32"/>
                                <w:szCs w:val="32"/>
                              </w:rPr>
                            </w:pPr>
                            <w:r>
                              <w:rPr>
                                <w:sz w:val="32"/>
                                <w:szCs w:val="32"/>
                              </w:rPr>
                              <w:t>p.</w:t>
                            </w:r>
                            <w:r w:rsidR="003F5FD9">
                              <w:rPr>
                                <w:sz w:val="32"/>
                                <w:szCs w:val="32"/>
                              </w:rPr>
                              <w:t>3</w:t>
                            </w:r>
                            <w:r>
                              <w:rPr>
                                <w:sz w:val="32"/>
                                <w:szCs w:val="32"/>
                              </w:rPr>
                              <w:t>/</w:t>
                            </w:r>
                            <w:r w:rsidR="003F5FD9">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8"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AjCE+JWAgAAuAQAAA4AAAAAAAAAAAAAAAAALgIAAGRycy9lMm9Eb2MueG1s&#10;UEsBAi0AFAAGAAgAAAAhAF++30jiAAAADgEAAA8AAAAAAAAAAAAAAAAAsAQAAGRycy9kb3ducmV2&#10;LnhtbFBLBQYAAAAABAAEAPMAAAC/BQAAAAA=&#10;" fillcolor="#eaeaea" strokeweight="1pt">
                <v:shadow on="t"/>
                <v:textbox>
                  <w:txbxContent>
                    <w:p w14:paraId="1C48DD07" w14:textId="463BC98B" w:rsidR="00ED56CD" w:rsidRPr="009D12EF" w:rsidRDefault="00ED56CD" w:rsidP="00ED56CD">
                      <w:pPr>
                        <w:jc w:val="center"/>
                        <w:rPr>
                          <w:sz w:val="32"/>
                          <w:szCs w:val="32"/>
                        </w:rPr>
                      </w:pPr>
                      <w:r>
                        <w:rPr>
                          <w:sz w:val="32"/>
                          <w:szCs w:val="32"/>
                        </w:rPr>
                        <w:t>p.</w:t>
                      </w:r>
                      <w:r w:rsidR="003F5FD9">
                        <w:rPr>
                          <w:sz w:val="32"/>
                          <w:szCs w:val="32"/>
                        </w:rPr>
                        <w:t>3</w:t>
                      </w:r>
                      <w:r>
                        <w:rPr>
                          <w:sz w:val="32"/>
                          <w:szCs w:val="32"/>
                        </w:rPr>
                        <w:t>/</w:t>
                      </w:r>
                      <w:r w:rsidR="003F5FD9">
                        <w:rPr>
                          <w:sz w:val="32"/>
                          <w:szCs w:val="32"/>
                        </w:rPr>
                        <w:t>6</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 xml:space="preserve">(10) In section 86(1)(b) (authority to declare vacancy where member becomes disqualified otherwise than in certain cases) after </w:t>
      </w:r>
      <w:proofErr w:type="gramStart"/>
      <w:r w:rsidRPr="003E7098">
        <w:rPr>
          <w:sz w:val="24"/>
          <w:szCs w:val="24"/>
        </w:rPr>
        <w:t>“ 2000</w:t>
      </w:r>
      <w:proofErr w:type="gramEnd"/>
      <w:r w:rsidRPr="003E7098">
        <w:rPr>
          <w:sz w:val="24"/>
          <w:szCs w:val="24"/>
        </w:rPr>
        <w:t xml:space="preserve">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(11) In section 87(</w:t>
      </w:r>
      <w:proofErr w:type="gramStart"/>
      <w:r w:rsidRPr="003E7098">
        <w:rPr>
          <w:sz w:val="24"/>
          <w:szCs w:val="24"/>
        </w:rPr>
        <w:t>1)(</w:t>
      </w:r>
      <w:proofErr w:type="spellStart"/>
      <w:proofErr w:type="gramEnd"/>
      <w:r w:rsidRPr="003E7098">
        <w:rPr>
          <w:sz w:val="24"/>
          <w:szCs w:val="24"/>
        </w:rPr>
        <w:t>ee</w:t>
      </w:r>
      <w:proofErr w:type="spellEnd"/>
      <w:r w:rsidRPr="003E7098">
        <w:rPr>
          <w:sz w:val="24"/>
          <w:szCs w:val="24"/>
        </w:rPr>
        <w:t xml:space="preserv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w:t>
      </w:r>
      <w:proofErr w:type="gramStart"/>
      <w:r w:rsidRPr="003E7098">
        <w:rPr>
          <w:sz w:val="24"/>
          <w:szCs w:val="24"/>
        </w:rPr>
        <w:t>“ or</w:t>
      </w:r>
      <w:proofErr w:type="gramEnd"/>
      <w:r w:rsidRPr="003E7098">
        <w:rPr>
          <w:sz w:val="24"/>
          <w:szCs w:val="24"/>
        </w:rPr>
        <w:t xml:space="preserve">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w:t>
      </w:r>
      <w:proofErr w:type="gramStart"/>
      <w:r w:rsidRPr="003E7098">
        <w:rPr>
          <w:sz w:val="24"/>
          <w:szCs w:val="24"/>
        </w:rPr>
        <w:t>“ or</w:t>
      </w:r>
      <w:proofErr w:type="gramEnd"/>
      <w:r w:rsidRPr="003E7098">
        <w:rPr>
          <w:sz w:val="24"/>
          <w:szCs w:val="24"/>
        </w:rPr>
        <w:t xml:space="preserve">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(13) In each of sections 7(b) and 14(b) (Authority to declare vacancy where Assembly member or Mayor becomes disqualified otherwise than in certain cases) after sub-paragraph (</w:t>
      </w:r>
      <w:proofErr w:type="spellStart"/>
      <w:r w:rsidRPr="003E7098">
        <w:rPr>
          <w:sz w:val="24"/>
          <w:szCs w:val="24"/>
        </w:rPr>
        <w:t>i</w:t>
      </w:r>
      <w:proofErr w:type="spellEnd"/>
      <w:r w:rsidRPr="003E7098">
        <w:rPr>
          <w:sz w:val="24"/>
          <w:szCs w:val="24"/>
        </w:rPr>
        <w:t xml:space="preserve">)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w:t>
      </w:r>
      <w:proofErr w:type="spellStart"/>
      <w:r w:rsidRPr="003E7098">
        <w:rPr>
          <w:sz w:val="24"/>
          <w:szCs w:val="24"/>
        </w:rPr>
        <w:t>ia</w:t>
      </w:r>
      <w:proofErr w:type="spellEnd"/>
      <w:r w:rsidRPr="003E7098">
        <w:rPr>
          <w:sz w:val="24"/>
          <w:szCs w:val="24"/>
        </w:rPr>
        <w:t xml:space="preserve">)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w:t>
      </w:r>
      <w:proofErr w:type="gramStart"/>
      <w:r w:rsidRPr="003E7098">
        <w:rPr>
          <w:sz w:val="24"/>
          <w:szCs w:val="24"/>
        </w:rPr>
        <w:t>“ or</w:t>
      </w:r>
      <w:proofErr w:type="gramEnd"/>
      <w:r w:rsidRPr="003E7098">
        <w:rPr>
          <w:sz w:val="24"/>
          <w:szCs w:val="24"/>
        </w:rPr>
        <w:t xml:space="preserve">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F62CD7E" w:rsidR="005733E8" w:rsidRPr="009D12EF" w:rsidRDefault="005733E8" w:rsidP="005733E8">
                            <w:pPr>
                              <w:jc w:val="center"/>
                              <w:rPr>
                                <w:sz w:val="32"/>
                                <w:szCs w:val="32"/>
                              </w:rPr>
                            </w:pPr>
                            <w:r>
                              <w:rPr>
                                <w:sz w:val="32"/>
                                <w:szCs w:val="32"/>
                              </w:rPr>
                              <w:t>p.</w:t>
                            </w:r>
                            <w:r w:rsidR="003F5FD9">
                              <w:rPr>
                                <w:sz w:val="32"/>
                                <w:szCs w:val="32"/>
                              </w:rPr>
                              <w:t>4</w:t>
                            </w:r>
                            <w:r>
                              <w:rPr>
                                <w:sz w:val="32"/>
                                <w:szCs w:val="32"/>
                              </w:rPr>
                              <w:t>/</w:t>
                            </w:r>
                            <w:r w:rsidR="003F5FD9">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29"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4ecXtkoCAACeBAAADgAAAAAAAAAAAAAAAAAuAgAAZHJzL2Uyb0RvYy54bWxQSwECLQAUAAYACAAA&#10;ACEARH8n3+EAAAAOAQAADwAAAAAAAAAAAAAAAACkBAAAZHJzL2Rvd25yZXYueG1sUEsFBgAAAAAE&#10;AAQA8wAAALIFAAAAAA==&#10;" fillcolor="#eaeaea" strokeweight="1pt">
                <v:shadow on="t"/>
                <v:textbox>
                  <w:txbxContent>
                    <w:p w14:paraId="70E35AC0" w14:textId="7F62CD7E" w:rsidR="005733E8" w:rsidRPr="009D12EF" w:rsidRDefault="005733E8" w:rsidP="005733E8">
                      <w:pPr>
                        <w:jc w:val="center"/>
                        <w:rPr>
                          <w:sz w:val="32"/>
                          <w:szCs w:val="32"/>
                        </w:rPr>
                      </w:pPr>
                      <w:r>
                        <w:rPr>
                          <w:sz w:val="32"/>
                          <w:szCs w:val="32"/>
                        </w:rPr>
                        <w:t>p.</w:t>
                      </w:r>
                      <w:r w:rsidR="003F5FD9">
                        <w:rPr>
                          <w:sz w:val="32"/>
                          <w:szCs w:val="32"/>
                        </w:rPr>
                        <w:t>4</w:t>
                      </w:r>
                      <w:r>
                        <w:rPr>
                          <w:sz w:val="32"/>
                          <w:szCs w:val="32"/>
                        </w:rPr>
                        <w:t>/</w:t>
                      </w:r>
                      <w:r w:rsidR="003F5FD9">
                        <w:rPr>
                          <w:sz w:val="32"/>
                          <w:szCs w:val="32"/>
                        </w:rPr>
                        <w:t>6</w:t>
                      </w:r>
                    </w:p>
                  </w:txbxContent>
                </v:textbox>
                <w10:wrap anchorx="page" anchory="page"/>
              </v:shape>
            </w:pict>
          </mc:Fallback>
        </mc:AlternateContent>
      </w:r>
      <w:r w:rsidR="00B4415E" w:rsidRPr="003E7098">
        <w:rPr>
          <w:sz w:val="24"/>
          <w:szCs w:val="24"/>
        </w:rPr>
        <w:tab/>
        <w:t xml:space="preserve">(b) after “that Act” insert </w:t>
      </w:r>
      <w:proofErr w:type="gramStart"/>
      <w:r w:rsidR="00B4415E" w:rsidRPr="003E7098">
        <w:rPr>
          <w:sz w:val="24"/>
          <w:szCs w:val="24"/>
        </w:rPr>
        <w:t>“ of</w:t>
      </w:r>
      <w:proofErr w:type="gramEnd"/>
      <w:r w:rsidR="00B4415E" w:rsidRPr="003E7098">
        <w:rPr>
          <w:sz w:val="24"/>
          <w:szCs w:val="24"/>
        </w:rPr>
        <w:t xml:space="preserve">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1)This</w:t>
      </w:r>
      <w:proofErr w:type="gramEnd"/>
      <w:r w:rsidRPr="00497649">
        <w:rPr>
          <w:rFonts w:cs="Arial"/>
          <w:color w:val="1E1E1E"/>
          <w:lang w:eastAsia="en-GB"/>
        </w:rPr>
        <w:t xml:space="preserve">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2)The</w:t>
      </w:r>
      <w:proofErr w:type="gramEnd"/>
      <w:r w:rsidRPr="00497649">
        <w:rPr>
          <w:rFonts w:cs="Arial"/>
          <w:color w:val="1E1E1E"/>
          <w:lang w:eastAsia="en-GB"/>
        </w:rPr>
        <w:t xml:space="preserv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3)Subsection</w:t>
      </w:r>
      <w:proofErr w:type="gramEnd"/>
      <w:r w:rsidRPr="00497649">
        <w:rPr>
          <w:rFonts w:cs="Arial"/>
          <w:color w:val="1E1E1E"/>
          <w:lang w:eastAsia="en-GB"/>
        </w:rPr>
        <w:t>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4)For</w:t>
      </w:r>
      <w:proofErr w:type="gramEnd"/>
      <w:r w:rsidRPr="00497649">
        <w:rPr>
          <w:rFonts w:cs="Arial"/>
          <w:color w:val="1E1E1E"/>
          <w:lang w:eastAsia="en-GB"/>
        </w:rPr>
        <w:t xml:space="preserve">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5)For</w:t>
      </w:r>
      <w:proofErr w:type="gramEnd"/>
      <w:r w:rsidRPr="00497649">
        <w:rPr>
          <w:rFonts w:cs="Arial"/>
          <w:color w:val="1E1E1E"/>
          <w:lang w:eastAsia="en-GB"/>
        </w:rPr>
        <w:t xml:space="preserve">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6)For</w:t>
      </w:r>
      <w:proofErr w:type="gramEnd"/>
      <w:r w:rsidRPr="00497649">
        <w:rPr>
          <w:rFonts w:cs="Arial"/>
          <w:color w:val="1E1E1E"/>
          <w:lang w:eastAsia="en-GB"/>
        </w:rPr>
        <w:t xml:space="preserve">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7)It</w:t>
      </w:r>
      <w:proofErr w:type="gramEnd"/>
      <w:r w:rsidRPr="00497649">
        <w:rPr>
          <w:rFonts w:cs="Arial"/>
          <w:color w:val="1E1E1E"/>
          <w:lang w:eastAsia="en-GB"/>
        </w:rPr>
        <w:t xml:space="preserve">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8)Where</w:t>
      </w:r>
      <w:proofErr w:type="gramEnd"/>
      <w:r w:rsidRPr="00497649">
        <w:rPr>
          <w:rFonts w:cs="Arial"/>
          <w:color w:val="1E1E1E"/>
          <w:lang w:eastAsia="en-GB"/>
        </w:rPr>
        <w:t xml:space="preserv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1855E4E4" w:rsidR="004965E3" w:rsidRPr="009D12EF" w:rsidRDefault="004965E3" w:rsidP="004965E3">
                            <w:pPr>
                              <w:jc w:val="center"/>
                              <w:rPr>
                                <w:sz w:val="32"/>
                                <w:szCs w:val="32"/>
                              </w:rPr>
                            </w:pPr>
                            <w:r>
                              <w:rPr>
                                <w:sz w:val="32"/>
                                <w:szCs w:val="32"/>
                              </w:rPr>
                              <w:t>p.</w:t>
                            </w:r>
                            <w:r w:rsidR="003F5FD9">
                              <w:rPr>
                                <w:sz w:val="32"/>
                                <w:szCs w:val="32"/>
                              </w:rPr>
                              <w:t>5</w:t>
                            </w:r>
                            <w:r>
                              <w:rPr>
                                <w:sz w:val="32"/>
                                <w:szCs w:val="32"/>
                              </w:rPr>
                              <w:t>/</w:t>
                            </w:r>
                            <w:r w:rsidR="003F5FD9">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0"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" fillcolor="#eaeaea" strokeweight="1pt">
                <v:shadow on="t"/>
                <v:textbox>
                  <w:txbxContent>
                    <w:p w14:paraId="7AD79EE6" w14:textId="1855E4E4" w:rsidR="004965E3" w:rsidRPr="009D12EF" w:rsidRDefault="004965E3" w:rsidP="004965E3">
                      <w:pPr>
                        <w:jc w:val="center"/>
                        <w:rPr>
                          <w:sz w:val="32"/>
                          <w:szCs w:val="32"/>
                        </w:rPr>
                      </w:pPr>
                      <w:r>
                        <w:rPr>
                          <w:sz w:val="32"/>
                          <w:szCs w:val="32"/>
                        </w:rPr>
                        <w:t>p.</w:t>
                      </w:r>
                      <w:r w:rsidR="003F5FD9">
                        <w:rPr>
                          <w:sz w:val="32"/>
                          <w:szCs w:val="32"/>
                        </w:rPr>
                        <w:t>5</w:t>
                      </w:r>
                      <w:r>
                        <w:rPr>
                          <w:sz w:val="32"/>
                          <w:szCs w:val="32"/>
                        </w:rPr>
                        <w:t>/</w:t>
                      </w:r>
                      <w:r w:rsidR="003F5FD9">
                        <w:rPr>
                          <w:sz w:val="32"/>
                          <w:szCs w:val="32"/>
                        </w:rPr>
                        <w:t>6</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19" w:anchor="section-30-1" w:tooltip="Go to s. 30(1)" w:history="1">
        <w:r w:rsidRPr="007A2CE7">
          <w:rPr>
            <w:rFonts w:cs="Arial"/>
            <w:lang w:eastAsia="en-GB"/>
          </w:rPr>
          <w:t>(1)</w:t>
        </w:r>
      </w:hyperlink>
      <w:hyperlink r:id="rId20"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9)In</w:t>
      </w:r>
      <w:proofErr w:type="gramEnd"/>
      <w:r w:rsidRPr="00497649">
        <w:rPr>
          <w:rFonts w:cs="Arial"/>
          <w:color w:val="1E1E1E"/>
          <w:lang w:eastAsia="en-GB"/>
        </w:rPr>
        <w:t xml:space="preserve">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 xml:space="preserve">“presumed” means presumed by the </w:t>
      </w:r>
      <w:proofErr w:type="gramStart"/>
      <w:r w:rsidRPr="00497649">
        <w:rPr>
          <w:rFonts w:cs="Arial"/>
          <w:color w:val="1E1E1E"/>
          <w:lang w:eastAsia="en-GB"/>
        </w:rPr>
        <w:t>offender;</w:t>
      </w:r>
      <w:proofErr w:type="gramEnd"/>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xml:space="preserve"> (and any reference in that Schedule to an offence includes a reference to that offence committed by aiding, abetting, </w:t>
      </w:r>
      <w:proofErr w:type="gramStart"/>
      <w:r w:rsidRPr="00497649">
        <w:rPr>
          <w:rFonts w:cs="Arial"/>
          <w:color w:val="1E1E1E"/>
          <w:lang w:eastAsia="en-GB"/>
        </w:rPr>
        <w:t>counselling</w:t>
      </w:r>
      <w:proofErr w:type="gramEnd"/>
      <w:r w:rsidRPr="00497649">
        <w:rPr>
          <w:rFonts w:cs="Arial"/>
          <w:color w:val="1E1E1E"/>
          <w:lang w:eastAsia="en-GB"/>
        </w:rPr>
        <w:t xml:space="preserve">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C0BE8D6" w:rsidR="00B17F00" w:rsidRPr="009D12EF" w:rsidRDefault="00B17F00" w:rsidP="00B4415E">
                            <w:pPr>
                              <w:jc w:val="center"/>
                              <w:rPr>
                                <w:sz w:val="32"/>
                                <w:szCs w:val="32"/>
                              </w:rPr>
                            </w:pPr>
                            <w:r>
                              <w:rPr>
                                <w:sz w:val="32"/>
                                <w:szCs w:val="32"/>
                              </w:rPr>
                              <w:t>p.</w:t>
                            </w:r>
                            <w:r w:rsidR="003F5FD9">
                              <w:rPr>
                                <w:sz w:val="32"/>
                                <w:szCs w:val="32"/>
                              </w:rPr>
                              <w:t>6</w:t>
                            </w:r>
                            <w:r w:rsidR="00ED56CD">
                              <w:rPr>
                                <w:sz w:val="32"/>
                                <w:szCs w:val="32"/>
                              </w:rPr>
                              <w:t>/</w:t>
                            </w:r>
                            <w:r w:rsidR="003F5FD9">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1"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qyFKCVYCAAC4BAAADgAAAAAAAAAAAAAAAAAuAgAAZHJzL2Uyb0RvYy54bWxQ&#10;SwECLQAUAAYACAAAACEALvmcIOEAAAAOAQAADwAAAAAAAAAAAAAAAACwBAAAZHJzL2Rvd25yZXYu&#10;eG1sUEsFBgAAAAAEAAQA8wAAAL4FAAAAAA==&#10;" fillcolor="#eaeaea" strokeweight="1pt">
                <v:shadow on="t"/>
                <v:textbox>
                  <w:txbxContent>
                    <w:p w14:paraId="2816154B" w14:textId="7C0BE8D6" w:rsidR="00B17F00" w:rsidRPr="009D12EF" w:rsidRDefault="00B17F00" w:rsidP="00B4415E">
                      <w:pPr>
                        <w:jc w:val="center"/>
                        <w:rPr>
                          <w:sz w:val="32"/>
                          <w:szCs w:val="32"/>
                        </w:rPr>
                      </w:pPr>
                      <w:r>
                        <w:rPr>
                          <w:sz w:val="32"/>
                          <w:szCs w:val="32"/>
                        </w:rPr>
                        <w:t>p.</w:t>
                      </w:r>
                      <w:r w:rsidR="003F5FD9">
                        <w:rPr>
                          <w:sz w:val="32"/>
                          <w:szCs w:val="32"/>
                        </w:rPr>
                        <w:t>6</w:t>
                      </w:r>
                      <w:r w:rsidR="00ED56CD">
                        <w:rPr>
                          <w:sz w:val="32"/>
                          <w:szCs w:val="32"/>
                        </w:rPr>
                        <w:t>/</w:t>
                      </w:r>
                      <w:r w:rsidR="003F5FD9">
                        <w:rPr>
                          <w:sz w:val="32"/>
                          <w:szCs w:val="32"/>
                        </w:rPr>
                        <w:t>6</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w:t>
      </w:r>
      <w:proofErr w:type="gramStart"/>
      <w:r w:rsidRPr="00F7306F">
        <w:rPr>
          <w:szCs w:val="20"/>
          <w:lang w:eastAsia="en-GB"/>
        </w:rPr>
        <w:t>party</w:t>
      </w:r>
      <w:proofErr w:type="gramEnd"/>
      <w:r w:rsidRPr="00F7306F">
        <w:rPr>
          <w:szCs w:val="20"/>
          <w:lang w:eastAsia="en-GB"/>
        </w:rPr>
        <w:t xml:space="preserve">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1"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31C9981" w:rsidR="00B17F00" w:rsidRPr="00B17F00" w:rsidRDefault="00CE020F" w:rsidP="00B17F00">
            <w:pPr>
              <w:tabs>
                <w:tab w:val="left" w:pos="0"/>
                <w:tab w:val="left" w:pos="566"/>
              </w:tabs>
              <w:spacing w:line="360" w:lineRule="auto"/>
              <w:ind w:leftChars="57" w:left="137" w:rightChars="57" w:right="137"/>
              <w:rPr>
                <w:szCs w:val="20"/>
                <w:lang w:eastAsia="en-GB"/>
              </w:rPr>
            </w:pPr>
            <w:r>
              <w:rPr>
                <w:szCs w:val="20"/>
                <w:lang w:eastAsia="en-GB"/>
              </w:rPr>
              <w:t>Browns Wood &amp; Old Farm Park</w:t>
            </w:r>
            <w:r w:rsidR="003F5FD9">
              <w:rPr>
                <w:szCs w:val="20"/>
                <w:lang w:eastAsia="en-GB"/>
              </w:rPr>
              <w:t xml:space="preserve"> ward of the parish of Walton</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338DD040" w:rsidR="00B17F00" w:rsidRPr="00B17F00" w:rsidRDefault="00E05DAD" w:rsidP="00B17F00">
            <w:pPr>
              <w:tabs>
                <w:tab w:val="left" w:pos="0"/>
                <w:tab w:val="left" w:pos="566"/>
              </w:tabs>
              <w:spacing w:line="360" w:lineRule="auto"/>
              <w:ind w:leftChars="57" w:left="137" w:rightChars="57" w:right="137"/>
              <w:rPr>
                <w:szCs w:val="20"/>
                <w:lang w:eastAsia="en-GB"/>
              </w:rPr>
            </w:pPr>
            <w:r>
              <w:rPr>
                <w:szCs w:val="20"/>
                <w:lang w:eastAsia="en-GB"/>
              </w:rPr>
              <w:t>Thursday 18 September 2025</w:t>
            </w: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2"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65D5B6F1" w:rsidR="00B17F00" w:rsidRPr="00B17F00" w:rsidRDefault="00CE020F" w:rsidP="00B17F00">
            <w:pPr>
              <w:tabs>
                <w:tab w:val="left" w:pos="0"/>
                <w:tab w:val="left" w:pos="566"/>
              </w:tabs>
              <w:spacing w:line="360" w:lineRule="auto"/>
              <w:ind w:leftChars="57" w:left="137" w:rightChars="57" w:right="137"/>
              <w:rPr>
                <w:szCs w:val="20"/>
                <w:lang w:eastAsia="en-GB"/>
              </w:rPr>
            </w:pPr>
            <w:r>
              <w:rPr>
                <w:szCs w:val="20"/>
                <w:lang w:eastAsia="en-GB"/>
              </w:rPr>
              <w:t>Browns Wood &amp; Old Farm Park</w:t>
            </w:r>
            <w:r w:rsidR="00DF5749">
              <w:rPr>
                <w:szCs w:val="20"/>
                <w:lang w:eastAsia="en-GB"/>
              </w:rPr>
              <w:t xml:space="preserve"> ward of the parish of Walton</w:t>
            </w: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22CECD93" w:rsidR="00B17F00" w:rsidRPr="00B17F00" w:rsidRDefault="00E05DAD" w:rsidP="00B17F00">
            <w:pPr>
              <w:tabs>
                <w:tab w:val="left" w:pos="0"/>
                <w:tab w:val="left" w:pos="566"/>
              </w:tabs>
              <w:spacing w:line="360" w:lineRule="auto"/>
              <w:ind w:leftChars="57" w:left="137" w:rightChars="57" w:right="137"/>
              <w:rPr>
                <w:szCs w:val="20"/>
                <w:lang w:eastAsia="en-GB"/>
              </w:rPr>
            </w:pPr>
            <w:r>
              <w:rPr>
                <w:szCs w:val="20"/>
                <w:lang w:eastAsia="en-GB"/>
              </w:rPr>
              <w:t>Thursday 18 September 2025</w:t>
            </w: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3"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4"/>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B562" w14:textId="77777777" w:rsidR="003734ED" w:rsidRDefault="003734ED">
      <w:r>
        <w:separator/>
      </w:r>
    </w:p>
  </w:endnote>
  <w:endnote w:type="continuationSeparator" w:id="0">
    <w:p w14:paraId="667111A6" w14:textId="77777777" w:rsidR="003734ED" w:rsidRDefault="003734ED">
      <w:r>
        <w:continuationSeparator/>
      </w:r>
    </w:p>
  </w:endnote>
  <w:endnote w:type="continuationNotice" w:id="1">
    <w:p w14:paraId="2D5C5293" w14:textId="77777777" w:rsidR="003734ED" w:rsidRDefault="00373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3C2E" w14:textId="77777777" w:rsidR="003734ED" w:rsidRDefault="003734ED">
      <w:r>
        <w:separator/>
      </w:r>
    </w:p>
  </w:footnote>
  <w:footnote w:type="continuationSeparator" w:id="0">
    <w:p w14:paraId="30CC9444" w14:textId="77777777" w:rsidR="003734ED" w:rsidRDefault="003734ED">
      <w:r>
        <w:continuationSeparator/>
      </w:r>
    </w:p>
  </w:footnote>
  <w:footnote w:type="continuationNotice" w:id="1">
    <w:p w14:paraId="21B89500" w14:textId="77777777" w:rsidR="003734ED" w:rsidRDefault="003734ED"/>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362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06E5"/>
    <w:rsid w:val="00311B74"/>
    <w:rsid w:val="00315DDB"/>
    <w:rsid w:val="00315E88"/>
    <w:rsid w:val="00323A47"/>
    <w:rsid w:val="0033328B"/>
    <w:rsid w:val="00337F4D"/>
    <w:rsid w:val="00344DFF"/>
    <w:rsid w:val="00345AD4"/>
    <w:rsid w:val="00345EA3"/>
    <w:rsid w:val="00346FB0"/>
    <w:rsid w:val="00355AA1"/>
    <w:rsid w:val="0036634F"/>
    <w:rsid w:val="00372BB2"/>
    <w:rsid w:val="003734ED"/>
    <w:rsid w:val="0037447E"/>
    <w:rsid w:val="00377A7B"/>
    <w:rsid w:val="003817B1"/>
    <w:rsid w:val="003825ED"/>
    <w:rsid w:val="00387F5C"/>
    <w:rsid w:val="00390C66"/>
    <w:rsid w:val="00394FCA"/>
    <w:rsid w:val="003A030B"/>
    <w:rsid w:val="003A11E3"/>
    <w:rsid w:val="003A3293"/>
    <w:rsid w:val="003A7B25"/>
    <w:rsid w:val="003B03DD"/>
    <w:rsid w:val="003C0F8D"/>
    <w:rsid w:val="003C19A5"/>
    <w:rsid w:val="003C2570"/>
    <w:rsid w:val="003C31FD"/>
    <w:rsid w:val="003C32D6"/>
    <w:rsid w:val="003E3192"/>
    <w:rsid w:val="003E4442"/>
    <w:rsid w:val="003E57B0"/>
    <w:rsid w:val="003E7098"/>
    <w:rsid w:val="003F5FCB"/>
    <w:rsid w:val="003F5FD9"/>
    <w:rsid w:val="004012B1"/>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82915"/>
    <w:rsid w:val="0048746B"/>
    <w:rsid w:val="0049122B"/>
    <w:rsid w:val="00491DCA"/>
    <w:rsid w:val="004965E3"/>
    <w:rsid w:val="00497649"/>
    <w:rsid w:val="004A00F5"/>
    <w:rsid w:val="004A15C3"/>
    <w:rsid w:val="004A3E89"/>
    <w:rsid w:val="004A3F5C"/>
    <w:rsid w:val="004A5A10"/>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57157"/>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4D17"/>
    <w:rsid w:val="00B55568"/>
    <w:rsid w:val="00B56D19"/>
    <w:rsid w:val="00B62E79"/>
    <w:rsid w:val="00B70163"/>
    <w:rsid w:val="00B72285"/>
    <w:rsid w:val="00B83D0B"/>
    <w:rsid w:val="00B84CA5"/>
    <w:rsid w:val="00B87271"/>
    <w:rsid w:val="00B9096D"/>
    <w:rsid w:val="00B958AF"/>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020F"/>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749"/>
    <w:rsid w:val="00DF5811"/>
    <w:rsid w:val="00DF72A1"/>
    <w:rsid w:val="00E026A5"/>
    <w:rsid w:val="00E037D9"/>
    <w:rsid w:val="00E03BE6"/>
    <w:rsid w:val="00E052E9"/>
    <w:rsid w:val="00E05DAD"/>
    <w:rsid w:val="00E07A6A"/>
    <w:rsid w:val="00E118B0"/>
    <w:rsid w:val="00E11D0B"/>
    <w:rsid w:val="00E12432"/>
    <w:rsid w:val="00E1438D"/>
    <w:rsid w:val="00E15240"/>
    <w:rsid w:val="00E228F4"/>
    <w:rsid w:val="00E3469C"/>
    <w:rsid w:val="00E34A76"/>
    <w:rsid w:val="00E359F3"/>
    <w:rsid w:val="00E43B9D"/>
    <w:rsid w:val="00E44FD7"/>
    <w:rsid w:val="00E50B55"/>
    <w:rsid w:val="00E53349"/>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lectoralcommission.org.uk/guidance-candidates-parish-council-elections-england"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yperlink" Target="http://search.electoralcommission.org.uk/" TargetMode="External"/><Relationship Id="rId10" Type="http://schemas.openxmlformats.org/officeDocument/2006/relationships/styles" Target="styles.xml"/><Relationship Id="rId19" Type="http://schemas.openxmlformats.org/officeDocument/2006/relationships/hyperlink" Target="https://www.legislation.gov.uk/ukpga/2022/37/section/30/enacted"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AD1129F6B6991E43A47472D00AE0666A" ma:contentTypeVersion="10" ma:contentTypeDescription="MKC Branded Word Template Document" ma:contentTypeScope="" ma:versionID="70a5823d19258cb31911d00c623015a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Props1.xml><?xml version="1.0" encoding="utf-8"?>
<ds:datastoreItem xmlns:ds="http://schemas.openxmlformats.org/officeDocument/2006/customXml" ds:itemID="{4CEB06FD-BF8A-41DD-BE68-CE2BE9D5371B}">
  <ds:schemaRefs>
    <ds:schemaRef ds:uri="Microsoft.SharePoint.Taxonomy.ContentTypeSync"/>
  </ds:schemaRefs>
</ds:datastoreItem>
</file>

<file path=customXml/itemProps2.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4.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6.xml><?xml version="1.0" encoding="utf-8"?>
<ds:datastoreItem xmlns:ds="http://schemas.openxmlformats.org/officeDocument/2006/customXml" ds:itemID="{B9CE0AED-B51A-4886-81A5-FD631461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8.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31099</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Dominique Scholes</cp:lastModifiedBy>
  <cp:revision>12</cp:revision>
  <cp:lastPrinted>2015-01-08T18:48:00Z</cp:lastPrinted>
  <dcterms:created xsi:type="dcterms:W3CDTF">2025-01-13T11:41:00Z</dcterms:created>
  <dcterms:modified xsi:type="dcterms:W3CDTF">2025-07-30T09:23:00Z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0x010100073DBBF460B4694388C550D7D3B1399900AD1129F6B6991E43A47472D00AE0666A</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